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6B9" w:rsidRDefault="008556B9">
      <w:pPr>
        <w:spacing w:after="120"/>
        <w:rPr>
          <w:szCs w:val="24"/>
        </w:rPr>
      </w:pPr>
    </w:p>
    <w:p w:rsidR="004101F9" w:rsidRDefault="004101F9">
      <w:pPr>
        <w:spacing w:after="120"/>
        <w:jc w:val="center"/>
        <w:rPr>
          <w:b/>
          <w:sz w:val="28"/>
          <w:szCs w:val="28"/>
        </w:rPr>
      </w:pPr>
    </w:p>
    <w:p w:rsidR="008556B9" w:rsidRDefault="004101F9">
      <w:pPr>
        <w:spacing w:after="120"/>
        <w:jc w:val="center"/>
      </w:pPr>
      <w:bookmarkStart w:id="0" w:name="_GoBack"/>
      <w:bookmarkEnd w:id="0"/>
      <w:r>
        <w:rPr>
          <w:b/>
          <w:sz w:val="28"/>
          <w:szCs w:val="28"/>
        </w:rPr>
        <w:t xml:space="preserve">Z U S A T Z -A N T R A G zu </w:t>
      </w:r>
      <w:proofErr w:type="spellStart"/>
      <w:r>
        <w:rPr>
          <w:b/>
          <w:sz w:val="28"/>
          <w:szCs w:val="28"/>
        </w:rPr>
        <w:t>Drs</w:t>
      </w:r>
      <w:proofErr w:type="spellEnd"/>
      <w:r>
        <w:rPr>
          <w:b/>
          <w:sz w:val="28"/>
          <w:szCs w:val="28"/>
        </w:rPr>
        <w:t>. 22/2156</w:t>
      </w:r>
    </w:p>
    <w:p w:rsidR="008556B9" w:rsidRDefault="008556B9">
      <w:pPr>
        <w:spacing w:after="120"/>
        <w:rPr>
          <w:szCs w:val="24"/>
        </w:rPr>
      </w:pPr>
    </w:p>
    <w:p w:rsidR="008556B9" w:rsidRDefault="004101F9">
      <w:pPr>
        <w:pStyle w:val="Standard1"/>
        <w:spacing w:after="120"/>
        <w:jc w:val="center"/>
      </w:pPr>
      <w:r>
        <w:rPr>
          <w:b/>
          <w:szCs w:val="24"/>
        </w:rPr>
        <w:t xml:space="preserve">der Abgeordneten Olga Fritzsche, David Stoop, Sabine Boeddinghaus, Deniz Celik, Dr. Carola Ensslen, Norbert Hackbusch, Stephan Jersch, Metin </w:t>
      </w:r>
      <w:r>
        <w:rPr>
          <w:b/>
          <w:szCs w:val="24"/>
        </w:rPr>
        <w:t>Kaya, Cansu Özdemir, Dr. Stephanie Rose, Heike Sudmann, Insa Tietjen und Mehmet Yildiz (Fraktion DIE LINKE)</w:t>
      </w:r>
      <w:r>
        <w:rPr>
          <w:b/>
          <w:i/>
          <w:sz w:val="20"/>
        </w:rPr>
        <w:br/>
      </w:r>
    </w:p>
    <w:p w:rsidR="008556B9" w:rsidRDefault="004101F9">
      <w:pPr>
        <w:spacing w:after="120"/>
        <w:ind w:left="851" w:hanging="851"/>
      </w:pPr>
      <w:r>
        <w:rPr>
          <w:rFonts w:cs="Arial"/>
          <w:b/>
          <w:szCs w:val="24"/>
        </w:rPr>
        <w:t>Betr.:</w:t>
      </w:r>
      <w:r>
        <w:rPr>
          <w:rFonts w:cs="Arial"/>
          <w:b/>
          <w:szCs w:val="24"/>
        </w:rPr>
        <w:tab/>
        <w:t>Landesarbeitsmarktprogramm für Hamburg – Landeseigene Qualifizierungsoffensive starten</w:t>
      </w:r>
    </w:p>
    <w:p w:rsidR="008556B9" w:rsidRDefault="004101F9">
      <w:r>
        <w:rPr>
          <w:i/>
          <w:sz w:val="20"/>
        </w:rPr>
        <w:t>Der Hamburger Arbeitsmarkt hat in Folge des Covid19-P</w:t>
      </w:r>
      <w:r>
        <w:rPr>
          <w:i/>
          <w:sz w:val="20"/>
        </w:rPr>
        <w:t xml:space="preserve">andemie bedingten </w:t>
      </w:r>
      <w:proofErr w:type="spellStart"/>
      <w:r>
        <w:rPr>
          <w:i/>
          <w:sz w:val="20"/>
        </w:rPr>
        <w:t>Lockdowns</w:t>
      </w:r>
      <w:proofErr w:type="spellEnd"/>
      <w:r>
        <w:rPr>
          <w:i/>
          <w:sz w:val="20"/>
        </w:rPr>
        <w:t xml:space="preserve"> einen massiven Einbruch zu verzeichnen und bisher ist nicht absehbar, welche Einschränkungen gegen die Ausbreitung des neuartigen </w:t>
      </w:r>
      <w:proofErr w:type="spellStart"/>
      <w:r>
        <w:rPr>
          <w:i/>
          <w:sz w:val="20"/>
        </w:rPr>
        <w:t>Coronavirus</w:t>
      </w:r>
      <w:proofErr w:type="spellEnd"/>
      <w:r>
        <w:rPr>
          <w:i/>
          <w:sz w:val="20"/>
        </w:rPr>
        <w:t xml:space="preserve"> noch nötig werden und wie stark sich diese Einschränkungen letztendlich auf dem Arbeit</w:t>
      </w:r>
      <w:r>
        <w:rPr>
          <w:i/>
          <w:sz w:val="20"/>
        </w:rPr>
        <w:t>smarkt niederschlagen werden. Fest steht jedoch, dass es erheblichen Bedarf für arbeitsmarkt- und beschäftigungspolitische Maßnahmen geben wird, um möglichst viele Arbeitsplätze zu erhalten und neue entstehen zu lassen. Insofern ist es erfreulich, dass sic</w:t>
      </w:r>
      <w:r>
        <w:rPr>
          <w:i/>
          <w:sz w:val="20"/>
        </w:rPr>
        <w:t xml:space="preserve">h die Regierungskoalition langfristig und vorausschauend dem Thema zuwenden wird. </w:t>
      </w:r>
      <w:r>
        <w:rPr>
          <w:i/>
          <w:sz w:val="20"/>
        </w:rPr>
        <w:br/>
      </w:r>
    </w:p>
    <w:p w:rsidR="008556B9" w:rsidRDefault="004101F9">
      <w:r>
        <w:rPr>
          <w:i/>
          <w:sz w:val="20"/>
        </w:rPr>
        <w:t>Bereits jetzt kann festgestellt werden, dass sich viele Soloselbständige und Betreiber von Kleingewerbe absehbar nicht wieder stabilisieren können werden. Sobald die regulä</w:t>
      </w:r>
      <w:r>
        <w:rPr>
          <w:i/>
          <w:sz w:val="20"/>
        </w:rPr>
        <w:t xml:space="preserve">ren Insolvenzregelungen 2021 wieder greifen, wird es mit allergrößter Wahrscheinlichkeit zu einem erheblichen Anstieg der Insolvenzen vor allem in den vom </w:t>
      </w:r>
      <w:proofErr w:type="spellStart"/>
      <w:r>
        <w:rPr>
          <w:i/>
          <w:sz w:val="20"/>
        </w:rPr>
        <w:t>Lockdown</w:t>
      </w:r>
      <w:proofErr w:type="spellEnd"/>
      <w:r>
        <w:rPr>
          <w:i/>
          <w:sz w:val="20"/>
        </w:rPr>
        <w:t xml:space="preserve"> stark betroffenen Bereichen kommen. </w:t>
      </w:r>
    </w:p>
    <w:p w:rsidR="008556B9" w:rsidRDefault="004101F9">
      <w:r>
        <w:rPr>
          <w:i/>
          <w:sz w:val="20"/>
        </w:rPr>
        <w:t>Gleichzeitig gehen reguläre Beschäftigungsverhältnisse,</w:t>
      </w:r>
      <w:r>
        <w:rPr>
          <w:i/>
          <w:sz w:val="20"/>
        </w:rPr>
        <w:t xml:space="preserve"> Zeitarbeit und Minijobs in Hamburg erheblich zurück und auch das Angebot an offenen Stellen verharrt bisher auf einem sehr niedrigen Niveau.</w:t>
      </w:r>
    </w:p>
    <w:p w:rsidR="008556B9" w:rsidRDefault="004101F9">
      <w:r>
        <w:rPr>
          <w:i/>
          <w:sz w:val="20"/>
        </w:rPr>
        <w:br/>
      </w:r>
      <w:r>
        <w:rPr>
          <w:i/>
          <w:sz w:val="20"/>
        </w:rPr>
        <w:t xml:space="preserve">Der Prozess der Digitalisierung in der Arbeitswelt wird in der Krise deutlicher und hat sich beschleunigt; damit </w:t>
      </w:r>
      <w:r>
        <w:rPr>
          <w:i/>
          <w:sz w:val="20"/>
        </w:rPr>
        <w:t xml:space="preserve">wächst auch der Bedarf der Ausweitung an Qualifizierung und Schulung von </w:t>
      </w:r>
      <w:proofErr w:type="spellStart"/>
      <w:proofErr w:type="gramStart"/>
      <w:r>
        <w:rPr>
          <w:i/>
          <w:sz w:val="20"/>
        </w:rPr>
        <w:t>Mitarbeiter:innen</w:t>
      </w:r>
      <w:proofErr w:type="spellEnd"/>
      <w:proofErr w:type="gramEnd"/>
      <w:r>
        <w:rPr>
          <w:i/>
          <w:sz w:val="20"/>
        </w:rPr>
        <w:t>.</w:t>
      </w:r>
    </w:p>
    <w:p w:rsidR="008556B9" w:rsidRDefault="008556B9">
      <w:pPr>
        <w:rPr>
          <w:i/>
          <w:sz w:val="20"/>
        </w:rPr>
      </w:pPr>
    </w:p>
    <w:p w:rsidR="008556B9" w:rsidRDefault="004101F9">
      <w:r>
        <w:rPr>
          <w:i/>
          <w:sz w:val="20"/>
        </w:rPr>
        <w:t>Die Politik muss Maßnahmen anbieten, welche Menschen ermutigt, sich beruflich auf zukunftsorientierte Branchen zu orientieren. Eine auskömmlich finanzierte Qualifi</w:t>
      </w:r>
      <w:r>
        <w:rPr>
          <w:i/>
          <w:sz w:val="20"/>
        </w:rPr>
        <w:t>zierung und Umschulung wird zentral für das Gelingen sein.</w:t>
      </w:r>
    </w:p>
    <w:p w:rsidR="008556B9" w:rsidRDefault="004101F9">
      <w:pPr>
        <w:rPr>
          <w:i/>
          <w:sz w:val="20"/>
        </w:rPr>
      </w:pPr>
      <w:r>
        <w:rPr>
          <w:i/>
          <w:sz w:val="20"/>
        </w:rPr>
        <w:lastRenderedPageBreak/>
        <w:t>Die regierenden Parteien der SPD und Grünen sprechen sich im Koalitionsvertrag dafür aus, dass „eine aktive Arbeitsmarktpolitik wieder ganz oben auf der politischen Agenda stehen muss“. Es ist jedo</w:t>
      </w:r>
      <w:r>
        <w:rPr>
          <w:i/>
          <w:sz w:val="20"/>
        </w:rPr>
        <w:t xml:space="preserve">ch keine weitere Konkretion zu finden. Man findet vage Hinweise auf Entwicklungen im Bereich </w:t>
      </w:r>
    </w:p>
    <w:p w:rsidR="008556B9" w:rsidRDefault="008556B9">
      <w:pPr>
        <w:rPr>
          <w:i/>
          <w:sz w:val="20"/>
        </w:rPr>
      </w:pPr>
    </w:p>
    <w:p w:rsidR="008556B9" w:rsidRDefault="004101F9">
      <w:r>
        <w:rPr>
          <w:i/>
          <w:sz w:val="20"/>
        </w:rPr>
        <w:t>des Umwelt- und Klimaschutzes. Antworten auf eine massive Welle der Arbeitslosigkeit sucht man dort vergebens und auch der aktuelle Antrag bleibt hier viel zu va</w:t>
      </w:r>
      <w:r>
        <w:rPr>
          <w:i/>
          <w:sz w:val="20"/>
        </w:rPr>
        <w:t>ge.</w:t>
      </w:r>
    </w:p>
    <w:p w:rsidR="008556B9" w:rsidRDefault="004101F9">
      <w:r>
        <w:rPr>
          <w:i/>
          <w:sz w:val="20"/>
        </w:rPr>
        <w:t>Der Hamburger Senat hat mit Inkrafttreten von Hartz IV die Bereitstellung von eigenen Haushaltsmitteln für Arbeitsmarktpolitik drastisch zurückgefahren. Gegenwärtig zeigen die städtischen Unternehmen kaum Engagement, um im Rahmen des Teilhabechancenges</w:t>
      </w:r>
      <w:r>
        <w:rPr>
          <w:i/>
          <w:sz w:val="20"/>
        </w:rPr>
        <w:t>etzes zusätzliche Stellen zu schaffen.</w:t>
      </w:r>
    </w:p>
    <w:p w:rsidR="008556B9" w:rsidRDefault="004101F9">
      <w:r>
        <w:rPr>
          <w:i/>
          <w:sz w:val="20"/>
        </w:rPr>
        <w:t xml:space="preserve">Förderung von Berufsausbildungen ist heute dringender denn je. Laut Geschäftsbericht von 2019 des Jobcenter </w:t>
      </w:r>
      <w:proofErr w:type="spellStart"/>
      <w:proofErr w:type="gramStart"/>
      <w:r>
        <w:rPr>
          <w:i/>
          <w:sz w:val="20"/>
        </w:rPr>
        <w:t>team.arbeit</w:t>
      </w:r>
      <w:proofErr w:type="gramEnd"/>
      <w:r>
        <w:rPr>
          <w:i/>
          <w:sz w:val="20"/>
        </w:rPr>
        <w:t>.hamburg</w:t>
      </w:r>
      <w:proofErr w:type="spellEnd"/>
      <w:r>
        <w:rPr>
          <w:i/>
          <w:sz w:val="20"/>
        </w:rPr>
        <w:t>. waren im vergangenen Jahr die höchsten Zuwächse an Arbeitslosigkeit für die Personen ohn</w:t>
      </w:r>
      <w:r>
        <w:rPr>
          <w:i/>
          <w:sz w:val="20"/>
        </w:rPr>
        <w:t xml:space="preserve">e Berufsausbildung zu verzeichnen. So waren rund dreiviertel der gemeldeten Arbeitslosen im Rechtskreis SGB II ohne Berufsausbildung.   </w:t>
      </w:r>
    </w:p>
    <w:p w:rsidR="008556B9" w:rsidRDefault="004101F9">
      <w:r>
        <w:rPr>
          <w:i/>
          <w:sz w:val="20"/>
        </w:rPr>
        <w:t>Gerade Hamburg, eine der wirtschaftlich stärksten Städte der Bundesrepublik, muss sich für seine Bürger spürbar und sic</w:t>
      </w:r>
      <w:r>
        <w:rPr>
          <w:i/>
          <w:sz w:val="20"/>
        </w:rPr>
        <w:t>htbar den mit der derzeitigen Krise verursachten sozialen Einbrüchen am Arbeitsmarkt stellen.</w:t>
      </w:r>
    </w:p>
    <w:p w:rsidR="008556B9" w:rsidRDefault="008556B9"/>
    <w:p w:rsidR="008556B9" w:rsidRDefault="004101F9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Vor diesem Hintergrund möge die Bürgerschaft beschließen:</w:t>
      </w:r>
    </w:p>
    <w:p w:rsidR="008556B9" w:rsidRDefault="008556B9">
      <w:pPr>
        <w:jc w:val="both"/>
      </w:pPr>
    </w:p>
    <w:p w:rsidR="008556B9" w:rsidRDefault="004101F9">
      <w:pPr>
        <w:pStyle w:val="Listenabsatz"/>
        <w:numPr>
          <w:ilvl w:val="0"/>
          <w:numId w:val="3"/>
        </w:numPr>
      </w:pPr>
      <w:r>
        <w:t>Ein Landesarbeitsmarktprogramm für Hamburg unter folgenden Voraussetzungen aufzustellen:</w:t>
      </w:r>
    </w:p>
    <w:p w:rsidR="008556B9" w:rsidRDefault="004101F9">
      <w:pPr>
        <w:pStyle w:val="Listenabsatz"/>
        <w:numPr>
          <w:ilvl w:val="1"/>
          <w:numId w:val="1"/>
        </w:numPr>
      </w:pPr>
      <w:r>
        <w:t xml:space="preserve">Einbindung </w:t>
      </w:r>
      <w:r>
        <w:t>aller wirtschafts- und arbeitsmarktrelevanten Akteure wie Träger von beruflicher Bildung und öffentlich geförderter Beschäftigung, der Wohlfahrtsverbände, der Sozialwirtschaft, sowie der Kammern und Gewerkschaften, auch um festzustellen, in welchen Branche</w:t>
      </w:r>
      <w:r>
        <w:t>n und Bereichen ein nicht zu deckender Arbeitskräftemangel besteht.</w:t>
      </w:r>
    </w:p>
    <w:p w:rsidR="008556B9" w:rsidRDefault="004101F9">
      <w:pPr>
        <w:pStyle w:val="Listenabsatz"/>
        <w:numPr>
          <w:ilvl w:val="1"/>
          <w:numId w:val="1"/>
        </w:numPr>
      </w:pPr>
      <w:r>
        <w:t xml:space="preserve">Erfassung der Qualifizierungsbedarfe der Arbeitssuchenden und der beschäftigten </w:t>
      </w:r>
      <w:proofErr w:type="spellStart"/>
      <w:r>
        <w:t>Arbeitnehmer:innen</w:t>
      </w:r>
      <w:proofErr w:type="spellEnd"/>
      <w:r>
        <w:t>,</w:t>
      </w:r>
      <w:r>
        <w:br/>
      </w:r>
      <w:r>
        <w:t>Entwicklung entsprechender Angebote unter Einbindung regionaler Träger und deren Kompete</w:t>
      </w:r>
      <w:r>
        <w:t>nzen.</w:t>
      </w:r>
      <w:r>
        <w:br/>
      </w:r>
    </w:p>
    <w:p w:rsidR="008556B9" w:rsidRDefault="004101F9">
      <w:pPr>
        <w:pStyle w:val="Listenabsatz"/>
        <w:numPr>
          <w:ilvl w:val="1"/>
          <w:numId w:val="1"/>
        </w:numPr>
      </w:pPr>
      <w:r>
        <w:t xml:space="preserve">Entwicklung von Qualifizierungs- und Fortbildungsangeboten auch für Arbeitssuchende und </w:t>
      </w:r>
      <w:proofErr w:type="spellStart"/>
      <w:proofErr w:type="gramStart"/>
      <w:r>
        <w:t>Arbeitnehmer:innen</w:t>
      </w:r>
      <w:proofErr w:type="spellEnd"/>
      <w:proofErr w:type="gramEnd"/>
      <w:r>
        <w:t xml:space="preserve"> mit beruflich hohen Qualifikationen. (Stichworte: Airbus, Lufthansa)</w:t>
      </w:r>
    </w:p>
    <w:p w:rsidR="008556B9" w:rsidRDefault="008556B9">
      <w:pPr>
        <w:pStyle w:val="Listenabsatz"/>
        <w:ind w:left="1080"/>
      </w:pPr>
    </w:p>
    <w:p w:rsidR="008556B9" w:rsidRDefault="004101F9">
      <w:pPr>
        <w:pStyle w:val="Listenabsatz"/>
        <w:numPr>
          <w:ilvl w:val="1"/>
          <w:numId w:val="1"/>
        </w:numPr>
      </w:pPr>
      <w:r>
        <w:t>Auskömmliche und regelhafte Finanzierung regionaler Träger, welche die U</w:t>
      </w:r>
      <w:r>
        <w:t>mschulung, Fort-, und Weiterbildungen leisten. Ausfinanzierung der Tarifsteigerungen in den Zuwendungen.</w:t>
      </w:r>
    </w:p>
    <w:p w:rsidR="008556B9" w:rsidRDefault="004101F9">
      <w:pPr>
        <w:pStyle w:val="Listenabsatz"/>
        <w:numPr>
          <w:ilvl w:val="1"/>
          <w:numId w:val="1"/>
        </w:numPr>
      </w:pPr>
      <w:r>
        <w:t xml:space="preserve">Bereitstellung ausreichender Mittel als Anschubfinanzierung zur Ausstattung von Trägern und </w:t>
      </w:r>
      <w:proofErr w:type="spellStart"/>
      <w:proofErr w:type="gramStart"/>
      <w:r>
        <w:t>Teilnehmer:innen</w:t>
      </w:r>
      <w:proofErr w:type="spellEnd"/>
      <w:proofErr w:type="gramEnd"/>
      <w:r>
        <w:t xml:space="preserve"> von Qualifikationsmaßnahmen mit digitalen </w:t>
      </w:r>
      <w:r>
        <w:t>Lernmitteln und Hardware für Fern- und Hybridunterricht.</w:t>
      </w:r>
    </w:p>
    <w:p w:rsidR="008556B9" w:rsidRDefault="004101F9">
      <w:pPr>
        <w:pStyle w:val="Listenabsatz"/>
        <w:numPr>
          <w:ilvl w:val="1"/>
          <w:numId w:val="1"/>
        </w:numPr>
      </w:pPr>
      <w:r>
        <w:t>Schaffung von 3000 zusätzlich geförderte Stellen über das Teilhabechancengesetz (§ 16i und 16e) bei der Stadt Hamburg.</w:t>
      </w:r>
    </w:p>
    <w:p w:rsidR="008556B9" w:rsidRDefault="004101F9">
      <w:pPr>
        <w:pStyle w:val="Listenabsatz"/>
        <w:numPr>
          <w:ilvl w:val="1"/>
          <w:numId w:val="1"/>
        </w:numPr>
      </w:pPr>
      <w:r>
        <w:t>Schaffung zusätzlicher sozialversicherungspflichtiger Stellen innerhalb eines st</w:t>
      </w:r>
      <w:r>
        <w:t xml:space="preserve">ädtischen Konjunkturprogrammes sowie über die Quartiersfonds in den Bezirken in Zusammenarbeit mit Beschäftigungsträgern, welche merklich zu einer qualitativen Verbesserung der Lebensqualität der </w:t>
      </w:r>
      <w:proofErr w:type="spellStart"/>
      <w:proofErr w:type="gramStart"/>
      <w:r>
        <w:t>Anwohner:innen</w:t>
      </w:r>
      <w:proofErr w:type="spellEnd"/>
      <w:proofErr w:type="gramEnd"/>
      <w:r>
        <w:t xml:space="preserve"> in den Quartieren beitragen. Beispielhaft kön</w:t>
      </w:r>
      <w:r>
        <w:t xml:space="preserve">nen dies sein: </w:t>
      </w:r>
      <w:r>
        <w:br/>
      </w:r>
      <w:r>
        <w:t>- Pflege von Grünanlagen, Spielplätzen und Sportstätten,</w:t>
      </w:r>
      <w:r>
        <w:br/>
      </w:r>
      <w:r>
        <w:t xml:space="preserve">- Stellen zur Aufsuchenden Seniorenarbeit (ohne Pflegeleistungen), </w:t>
      </w:r>
      <w:r>
        <w:br/>
      </w:r>
      <w:r>
        <w:t>- Servicedienste für Menschen, die körperlich und psychisch eingeschränkt sind, wie Einkaufsdienste und Hausbesuche</w:t>
      </w:r>
      <w:r>
        <w:t>.</w:t>
      </w:r>
      <w:r>
        <w:br/>
      </w:r>
      <w:r>
        <w:t>Weiter können dies Stellen zur Reduzierung sozialer Verarmung von Menschen sein, verursacht auch durch staatliche Krisenintervention. (Stichwort: Dauerisolierung im Hotspot Stationäre Altenhilfe)</w:t>
      </w:r>
    </w:p>
    <w:p w:rsidR="008556B9" w:rsidRDefault="004101F9">
      <w:pPr>
        <w:pStyle w:val="Listenabsatz"/>
        <w:numPr>
          <w:ilvl w:val="1"/>
          <w:numId w:val="1"/>
        </w:numPr>
      </w:pPr>
      <w:r>
        <w:t xml:space="preserve">Abdeckung der entstehenden Kosten über die Bereitstellung </w:t>
      </w:r>
      <w:r>
        <w:t>der notwendigen Mittel im Haushalt.</w:t>
      </w:r>
    </w:p>
    <w:p w:rsidR="008556B9" w:rsidRDefault="004101F9">
      <w:pPr>
        <w:pStyle w:val="Listenabsatz"/>
        <w:numPr>
          <w:ilvl w:val="0"/>
          <w:numId w:val="1"/>
        </w:numPr>
      </w:pPr>
      <w:r>
        <w:t>Der Bürgerschaft bis zum März 2021 zu berichten.</w:t>
      </w:r>
    </w:p>
    <w:sectPr w:rsidR="008556B9">
      <w:headerReference w:type="default" r:id="rId7"/>
      <w:pgSz w:w="11906" w:h="16838"/>
      <w:pgMar w:top="1417" w:right="1417" w:bottom="1134" w:left="1417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101F9">
      <w:pPr>
        <w:spacing w:line="240" w:lineRule="auto"/>
      </w:pPr>
      <w:r>
        <w:separator/>
      </w:r>
    </w:p>
  </w:endnote>
  <w:endnote w:type="continuationSeparator" w:id="0">
    <w:p w:rsidR="00000000" w:rsidRDefault="004101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101F9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4101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C1" w:rsidRDefault="004101F9">
    <w:pPr>
      <w:pStyle w:val="Kopfzeile"/>
    </w:pPr>
    <w:r>
      <w:rPr>
        <w:b/>
        <w:sz w:val="28"/>
      </w:rPr>
      <w:t>BÜRGERSCHAFT</w:t>
    </w:r>
  </w:p>
  <w:p w:rsidR="00CF23C1" w:rsidRDefault="004101F9">
    <w:pPr>
      <w:pStyle w:val="Kopfzeile"/>
    </w:pPr>
    <w:r>
      <w:rPr>
        <w:b/>
        <w:sz w:val="28"/>
      </w:rPr>
      <w:t>DER FREIEN UND HANSESTADT HAMBURG</w:t>
    </w:r>
    <w:r>
      <w:rPr>
        <w:b/>
        <w:sz w:val="28"/>
      </w:rPr>
      <w:tab/>
    </w:r>
    <w:r>
      <w:rPr>
        <w:sz w:val="24"/>
        <w:szCs w:val="24"/>
      </w:rPr>
      <w:t xml:space="preserve">Drucksache </w:t>
    </w:r>
    <w:r>
      <w:rPr>
        <w:b/>
        <w:sz w:val="28"/>
      </w:rPr>
      <w:t>22/</w:t>
    </w:r>
  </w:p>
  <w:p w:rsidR="00CF23C1" w:rsidRDefault="004101F9">
    <w:pPr>
      <w:pStyle w:val="Kopfzeile"/>
    </w:pPr>
    <w:r>
      <w:rPr>
        <w:b/>
        <w:sz w:val="24"/>
        <w:szCs w:val="24"/>
      </w:rPr>
      <w:t>22. Wahlperiode</w:t>
    </w:r>
    <w:r>
      <w:rPr>
        <w:b/>
      </w:rPr>
      <w:tab/>
    </w:r>
    <w:r>
      <w:rPr>
        <w:b/>
      </w:rPr>
      <w:tab/>
      <w:t>xx.xx</w:t>
    </w:r>
    <w:r>
      <w:rPr>
        <w:b/>
        <w:sz w:val="24"/>
        <w:szCs w:val="24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96452"/>
    <w:multiLevelType w:val="multilevel"/>
    <w:tmpl w:val="B78AC2E6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3AFA5BA6"/>
    <w:multiLevelType w:val="multilevel"/>
    <w:tmpl w:val="8248635E"/>
    <w:styleLink w:val="WW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556B9"/>
    <w:rsid w:val="002F3D14"/>
    <w:rsid w:val="004101F9"/>
    <w:rsid w:val="0085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DDA19"/>
  <w15:docId w15:val="{DE573F6F-06EB-49BD-A413-97604B5D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kern w:val="3"/>
        <w:sz w:val="22"/>
        <w:szCs w:val="22"/>
        <w:lang w:val="de-DE" w:eastAsia="en-US" w:bidi="ar-SA"/>
      </w:rPr>
    </w:rPrDefault>
    <w:pPrDefault>
      <w:pPr>
        <w:widowControl w:val="0"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  <w:suppressAutoHyphens/>
      <w:spacing w:line="36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  <w:spacing w:line="240" w:lineRule="auto"/>
    </w:pPr>
    <w:rPr>
      <w:rFonts w:cs="Calibri"/>
      <w:sz w:val="22"/>
      <w:szCs w:val="22"/>
      <w:lang w:eastAsia="en-US"/>
    </w:r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  <w:spacing w:line="240" w:lineRule="auto"/>
    </w:pPr>
    <w:rPr>
      <w:rFonts w:cs="Calibri"/>
      <w:sz w:val="22"/>
      <w:szCs w:val="22"/>
      <w:lang w:eastAsia="en-US"/>
    </w:rPr>
  </w:style>
  <w:style w:type="paragraph" w:styleId="Sprechblasentext">
    <w:name w:val="Balloon Text"/>
    <w:basedOn w:val="Standard"/>
    <w:pPr>
      <w:spacing w:line="240" w:lineRule="auto"/>
    </w:pPr>
    <w:rPr>
      <w:rFonts w:ascii="Tahoma" w:hAnsi="Tahoma" w:cs="Calibri"/>
      <w:sz w:val="16"/>
      <w:szCs w:val="16"/>
      <w:lang w:eastAsia="en-US"/>
    </w:rPr>
  </w:style>
  <w:style w:type="paragraph" w:styleId="Listenabsatz">
    <w:name w:val="List Paragraph"/>
    <w:basedOn w:val="Standard"/>
    <w:pPr>
      <w:spacing w:after="200"/>
      <w:ind w:left="720"/>
    </w:pPr>
  </w:style>
  <w:style w:type="paragraph" w:customStyle="1" w:styleId="Standard1">
    <w:name w:val="Standard1"/>
    <w:pPr>
      <w:widowControl/>
      <w:suppressAutoHyphens/>
      <w:spacing w:line="36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rPr>
      <w:rFonts w:ascii="Arial" w:hAnsi="Arial"/>
    </w:rPr>
  </w:style>
  <w:style w:type="character" w:customStyle="1" w:styleId="FuzeileZchn">
    <w:name w:val="Fußzeile Zchn"/>
    <w:basedOn w:val="Absatz-Standardschriftart"/>
    <w:rPr>
      <w:rFonts w:ascii="Arial" w:hAnsi="Arial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eastAsia="Times New Roman" w:cs="Times New Roman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Bürgerschaft der freien und Hansestadt Hamburg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Geitner, Margret</cp:lastModifiedBy>
  <cp:revision>3</cp:revision>
  <cp:lastPrinted>2020-11-16T16:35:00Z</cp:lastPrinted>
  <dcterms:created xsi:type="dcterms:W3CDTF">2020-11-19T12:34:00Z</dcterms:created>
  <dcterms:modified xsi:type="dcterms:W3CDTF">2020-11-19T12:35:00Z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Bürgerschaftskanzlei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