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235AA" w14:textId="5D70BABE" w:rsidR="00FD4167" w:rsidRPr="00FD4167" w:rsidRDefault="0056778B" w:rsidP="0056778B">
      <w:pPr>
        <w:autoSpaceDE w:val="0"/>
        <w:autoSpaceDN w:val="0"/>
        <w:adjustRightInd w:val="0"/>
        <w:jc w:val="right"/>
        <w:rPr>
          <w:rFonts w:eastAsia="Times New Roman" w:cs="Arial"/>
          <w:b/>
          <w:bCs/>
          <w:color w:val="000000"/>
          <w:sz w:val="28"/>
          <w:szCs w:val="28"/>
          <w:lang w:eastAsia="de-DE"/>
        </w:rPr>
      </w:pPr>
      <w:bookmarkStart w:id="0" w:name="_GoBack"/>
      <w:bookmarkEnd w:id="0"/>
      <w:r>
        <w:rPr>
          <w:rFonts w:eastAsia="Times New Roman"/>
          <w:lang w:eastAsia="de-DE"/>
        </w:rPr>
        <w:t>8. Dezember 2023</w:t>
      </w:r>
    </w:p>
    <w:p w14:paraId="68519798" w14:textId="77777777" w:rsidR="00FD4167" w:rsidRPr="00FD4167" w:rsidRDefault="00FD4167" w:rsidP="00FD4167">
      <w:pPr>
        <w:autoSpaceDE w:val="0"/>
        <w:autoSpaceDN w:val="0"/>
        <w:adjustRightInd w:val="0"/>
        <w:jc w:val="center"/>
        <w:rPr>
          <w:rFonts w:eastAsia="Times New Roman" w:cs="Arial"/>
          <w:b/>
          <w:bCs/>
          <w:color w:val="000000"/>
          <w:sz w:val="36"/>
          <w:szCs w:val="36"/>
          <w:lang w:eastAsia="de-DE"/>
        </w:rPr>
      </w:pPr>
    </w:p>
    <w:p w14:paraId="1D317E15" w14:textId="77777777" w:rsidR="00FD4167" w:rsidRPr="00FD4167" w:rsidRDefault="00FD4167" w:rsidP="00FD4167">
      <w:pPr>
        <w:spacing w:after="120" w:line="360" w:lineRule="auto"/>
        <w:jc w:val="center"/>
        <w:rPr>
          <w:rFonts w:eastAsia="Times New Roman"/>
          <w:b/>
          <w:sz w:val="36"/>
          <w:szCs w:val="36"/>
          <w:lang w:eastAsia="de-DE"/>
        </w:rPr>
      </w:pPr>
      <w:r w:rsidRPr="00FD4167">
        <w:rPr>
          <w:rFonts w:eastAsia="Times New Roman" w:cs="Arial"/>
          <w:sz w:val="24"/>
          <w:szCs w:val="24"/>
          <w:lang w:eastAsia="de-DE"/>
        </w:rPr>
        <w:t xml:space="preserve"> </w:t>
      </w:r>
      <w:r w:rsidRPr="00FD4167">
        <w:rPr>
          <w:rFonts w:eastAsia="Times New Roman"/>
          <w:b/>
          <w:sz w:val="36"/>
          <w:szCs w:val="36"/>
          <w:lang w:eastAsia="de-DE"/>
        </w:rPr>
        <w:t>Schriftliche Kleine Anfrage</w:t>
      </w:r>
    </w:p>
    <w:p w14:paraId="33897B51" w14:textId="7ABA66BA" w:rsidR="00A13A5D" w:rsidRDefault="00A13A5D" w:rsidP="00FD4167">
      <w:pPr>
        <w:autoSpaceDE w:val="0"/>
        <w:autoSpaceDN w:val="0"/>
        <w:adjustRightInd w:val="0"/>
        <w:spacing w:before="240"/>
        <w:jc w:val="center"/>
        <w:rPr>
          <w:rFonts w:eastAsia="Times New Roman"/>
          <w:b/>
          <w:lang w:eastAsia="de-DE"/>
        </w:rPr>
      </w:pPr>
      <w:r w:rsidRPr="00A13A5D">
        <w:rPr>
          <w:rFonts w:eastAsia="Times New Roman"/>
          <w:b/>
          <w:lang w:eastAsia="de-DE"/>
        </w:rPr>
        <w:t>der Abgeordneten Heike Sudmann (DIE LINKE) vom 30.11.</w:t>
      </w:r>
      <w:r w:rsidR="0056778B">
        <w:rPr>
          <w:rFonts w:eastAsia="Times New Roman"/>
          <w:b/>
          <w:lang w:eastAsia="de-DE"/>
        </w:rPr>
        <w:t>20</w:t>
      </w:r>
      <w:r w:rsidRPr="00A13A5D">
        <w:rPr>
          <w:rFonts w:eastAsia="Times New Roman"/>
          <w:b/>
          <w:lang w:eastAsia="de-DE"/>
        </w:rPr>
        <w:t>23</w:t>
      </w:r>
    </w:p>
    <w:p w14:paraId="45E432B3" w14:textId="3C4C8FA5" w:rsidR="00FD4167" w:rsidRPr="00FD4167" w:rsidRDefault="00FD4167" w:rsidP="00FD4167">
      <w:pPr>
        <w:autoSpaceDE w:val="0"/>
        <w:autoSpaceDN w:val="0"/>
        <w:adjustRightInd w:val="0"/>
        <w:spacing w:before="240"/>
        <w:jc w:val="center"/>
        <w:rPr>
          <w:rFonts w:eastAsia="Times New Roman" w:cs="Arial"/>
          <w:b/>
          <w:bCs/>
          <w:color w:val="000000"/>
          <w:sz w:val="36"/>
          <w:szCs w:val="36"/>
          <w:lang w:eastAsia="de-DE"/>
        </w:rPr>
      </w:pPr>
      <w:r w:rsidRPr="00FD4167">
        <w:rPr>
          <w:rFonts w:eastAsia="Times New Roman" w:cs="Arial"/>
          <w:b/>
          <w:bCs/>
          <w:color w:val="000000"/>
          <w:lang w:eastAsia="de-DE"/>
        </w:rPr>
        <w:t xml:space="preserve">und </w:t>
      </w:r>
      <w:r w:rsidRPr="00FD4167">
        <w:rPr>
          <w:rFonts w:eastAsia="Times New Roman" w:cs="Arial"/>
          <w:b/>
          <w:bCs/>
          <w:color w:val="000000"/>
          <w:sz w:val="36"/>
          <w:szCs w:val="36"/>
          <w:lang w:eastAsia="de-DE"/>
        </w:rPr>
        <w:t>Antwort des Senats</w:t>
      </w:r>
    </w:p>
    <w:p w14:paraId="5E79D55E" w14:textId="084484BE" w:rsidR="00FD4167" w:rsidRPr="00FD4167" w:rsidRDefault="00FD4167" w:rsidP="00FD4167">
      <w:pPr>
        <w:autoSpaceDE w:val="0"/>
        <w:autoSpaceDN w:val="0"/>
        <w:adjustRightInd w:val="0"/>
        <w:spacing w:before="240"/>
        <w:jc w:val="center"/>
        <w:rPr>
          <w:rFonts w:eastAsia="Times New Roman"/>
          <w:b/>
          <w:sz w:val="28"/>
          <w:szCs w:val="28"/>
          <w:lang w:eastAsia="de-DE"/>
        </w:rPr>
      </w:pPr>
      <w:r w:rsidRPr="00FD4167">
        <w:rPr>
          <w:rFonts w:eastAsia="Times New Roman"/>
          <w:b/>
          <w:sz w:val="28"/>
          <w:szCs w:val="28"/>
          <w:lang w:eastAsia="de-DE"/>
        </w:rPr>
        <w:t xml:space="preserve">- Drucksache </w:t>
      </w:r>
      <w:r w:rsidR="001F3B2E">
        <w:rPr>
          <w:rFonts w:eastAsia="Times New Roman"/>
          <w:b/>
          <w:sz w:val="28"/>
          <w:szCs w:val="28"/>
          <w:lang w:eastAsia="de-DE"/>
        </w:rPr>
        <w:t>22</w:t>
      </w:r>
      <w:r>
        <w:rPr>
          <w:rFonts w:eastAsia="Times New Roman"/>
          <w:b/>
          <w:sz w:val="28"/>
          <w:szCs w:val="28"/>
          <w:lang w:eastAsia="de-DE"/>
        </w:rPr>
        <w:t>/</w:t>
      </w:r>
      <w:r w:rsidR="00A13A5D">
        <w:rPr>
          <w:rFonts w:eastAsia="Times New Roman"/>
          <w:b/>
          <w:sz w:val="28"/>
          <w:szCs w:val="28"/>
          <w:lang w:eastAsia="de-DE"/>
        </w:rPr>
        <w:t>13696</w:t>
      </w:r>
      <w:r w:rsidR="00F500D5">
        <w:rPr>
          <w:rFonts w:eastAsia="Times New Roman"/>
          <w:b/>
          <w:sz w:val="28"/>
          <w:szCs w:val="28"/>
          <w:lang w:eastAsia="de-DE"/>
        </w:rPr>
        <w:t xml:space="preserve"> </w:t>
      </w:r>
      <w:r w:rsidRPr="00FD4167">
        <w:rPr>
          <w:rFonts w:eastAsia="Times New Roman"/>
          <w:b/>
          <w:sz w:val="28"/>
          <w:szCs w:val="28"/>
          <w:lang w:eastAsia="de-DE"/>
        </w:rPr>
        <w:t>-</w:t>
      </w:r>
    </w:p>
    <w:p w14:paraId="15DD5B08" w14:textId="77777777" w:rsidR="00A13A5D" w:rsidRPr="005858BC" w:rsidRDefault="00A13A5D" w:rsidP="00A13A5D">
      <w:pPr>
        <w:pStyle w:val="Titel-Betreff"/>
      </w:pPr>
      <w:r w:rsidRPr="005858BC">
        <w:t>Betr.:</w:t>
      </w:r>
      <w:r w:rsidRPr="005858BC">
        <w:tab/>
      </w:r>
      <w:r>
        <w:t xml:space="preserve">Elbtower – Welche Fristen und welche Wiederkaufsmöglichkheiten bei Insolvenz und anderen Anlässen gelten denn nun? </w:t>
      </w:r>
    </w:p>
    <w:p w14:paraId="67F9EFE9" w14:textId="77777777" w:rsidR="00A13A5D" w:rsidRPr="005858BC" w:rsidRDefault="00A13A5D" w:rsidP="00A13A5D">
      <w:pPr>
        <w:pStyle w:val="FrageEinleitungberschrift"/>
      </w:pPr>
      <w:r w:rsidRPr="005858BC">
        <w:t>Einleitung für die Fragen:</w:t>
      </w:r>
    </w:p>
    <w:p w14:paraId="7A75ABB6" w14:textId="77777777" w:rsidR="00A13A5D" w:rsidRDefault="00A13A5D" w:rsidP="00A13A5D">
      <w:pPr>
        <w:pStyle w:val="FrageEinleitungText"/>
      </w:pPr>
      <w:r>
        <w:t xml:space="preserve">Der Senat und die Hafen City Hamburg GmbH (HCH) haben in den letzten Wochen unterschiedliche Aussagen zu Fristen und Regelungen aus dem Grundstückskaufvertrag (GKV) zum Elbtower getätigt. Beim Thema Insolvenz wurde der Eindruck erweckt, der Senat könne unmittelbar bei einer Insolvenz ein Wiederkaufsrecht geltend machen – was dem § 19.1.3 widerspricht. </w:t>
      </w:r>
    </w:p>
    <w:p w14:paraId="0F495ECE" w14:textId="77777777" w:rsidR="00A13A5D" w:rsidRPr="005858BC" w:rsidRDefault="00A13A5D" w:rsidP="00A13A5D">
      <w:pPr>
        <w:pStyle w:val="FrageEinleitungText"/>
      </w:pPr>
      <w:r>
        <w:t xml:space="preserve">Der konsolidierte Grundstückskaufvertrag, Stand 14. März 2022, mit diversen Schwärzungen ist hier zu finden: </w:t>
      </w:r>
      <w:hyperlink r:id="rId11" w:history="1">
        <w:r w:rsidRPr="00890E80">
          <w:t>https://fragdenstaat.de/a/244382</w:t>
        </w:r>
      </w:hyperlink>
    </w:p>
    <w:p w14:paraId="0CC6B7B7" w14:textId="5A88881F" w:rsidR="00A13A5D" w:rsidRDefault="00A13A5D" w:rsidP="00A13A5D">
      <w:pPr>
        <w:pStyle w:val="FrageNummer1"/>
        <w:numPr>
          <w:ilvl w:val="0"/>
          <w:numId w:val="0"/>
        </w:numPr>
        <w:ind w:left="709" w:firstLine="85"/>
        <w:jc w:val="left"/>
      </w:pPr>
      <w:r w:rsidRPr="005858BC">
        <w:t>Ich frage den Senat:</w:t>
      </w:r>
    </w:p>
    <w:p w14:paraId="6502B9F8" w14:textId="3CA6A578" w:rsidR="007C12F1" w:rsidRPr="00720776" w:rsidRDefault="00835822" w:rsidP="00372FF4">
      <w:pPr>
        <w:pStyle w:val="FrageNummer1"/>
        <w:numPr>
          <w:ilvl w:val="0"/>
          <w:numId w:val="0"/>
        </w:numPr>
        <w:rPr>
          <w:i w:val="0"/>
        </w:rPr>
      </w:pPr>
      <w:r>
        <w:rPr>
          <w:i w:val="0"/>
        </w:rPr>
        <w:t xml:space="preserve">Der Grundstückskaufvertrag </w:t>
      </w:r>
      <w:r w:rsidR="007C12F1" w:rsidRPr="00720776">
        <w:rPr>
          <w:i w:val="0"/>
        </w:rPr>
        <w:t xml:space="preserve">sichert </w:t>
      </w:r>
      <w:r w:rsidR="00EA1CCC" w:rsidRPr="00720776">
        <w:rPr>
          <w:i w:val="0"/>
        </w:rPr>
        <w:t xml:space="preserve">unter anderem </w:t>
      </w:r>
      <w:r w:rsidR="007C12F1" w:rsidRPr="00720776">
        <w:rPr>
          <w:i w:val="0"/>
        </w:rPr>
        <w:t>mit einem Fristenregime den Bau des Elbtowers und die Rechtsposition</w:t>
      </w:r>
      <w:r w:rsidR="00372FF4" w:rsidRPr="00372FF4">
        <w:rPr>
          <w:i w:val="0"/>
        </w:rPr>
        <w:t xml:space="preserve"> der </w:t>
      </w:r>
      <w:r w:rsidR="00226553">
        <w:rPr>
          <w:i w:val="0"/>
        </w:rPr>
        <w:t>Freien und Hansestadt Hamburg (FHH)</w:t>
      </w:r>
      <w:r w:rsidR="007C12F1" w:rsidRPr="00720776">
        <w:rPr>
          <w:i w:val="0"/>
        </w:rPr>
        <w:t>. Das Regime ist dabei dreistufig gegliedert</w:t>
      </w:r>
      <w:r w:rsidR="00EA1CCC" w:rsidRPr="00720776">
        <w:rPr>
          <w:i w:val="0"/>
        </w:rPr>
        <w:t xml:space="preserve"> und knüpft an die Fertigstellung des Rohbaus bzw. des Bauvorhabens</w:t>
      </w:r>
      <w:r w:rsidR="00372FF4" w:rsidRPr="00372FF4">
        <w:rPr>
          <w:i w:val="0"/>
        </w:rPr>
        <w:t xml:space="preserve"> im </w:t>
      </w:r>
      <w:r w:rsidR="00EA1CCC" w:rsidRPr="00720776">
        <w:rPr>
          <w:i w:val="0"/>
        </w:rPr>
        <w:t>Sinne des Vertrages an</w:t>
      </w:r>
      <w:r w:rsidR="007C12F1" w:rsidRPr="00720776">
        <w:rPr>
          <w:i w:val="0"/>
        </w:rPr>
        <w:t>. Die wichtigsten Fristen sind</w:t>
      </w:r>
      <w:r w:rsidR="00110735">
        <w:rPr>
          <w:i w:val="0"/>
        </w:rPr>
        <w:t xml:space="preserve"> wie folgt geregelt</w:t>
      </w:r>
      <w:r w:rsidR="007C12F1" w:rsidRPr="00720776">
        <w:rPr>
          <w:i w:val="0"/>
        </w:rPr>
        <w:t>:</w:t>
      </w:r>
    </w:p>
    <w:p w14:paraId="34A55CC0" w14:textId="4BB42968" w:rsidR="007C12F1" w:rsidRPr="00720776" w:rsidRDefault="007C12F1" w:rsidP="00766651">
      <w:pPr>
        <w:pStyle w:val="FrageNummer1"/>
        <w:numPr>
          <w:ilvl w:val="0"/>
          <w:numId w:val="0"/>
        </w:numPr>
      </w:pPr>
      <w:r w:rsidRPr="00720776">
        <w:rPr>
          <w:i w:val="0"/>
        </w:rPr>
        <w:t xml:space="preserve">Geschuldet wird die </w:t>
      </w:r>
      <w:r w:rsidRPr="00DB2BAD">
        <w:rPr>
          <w:i w:val="0"/>
          <w:iCs/>
        </w:rPr>
        <w:t>Fertigstellung</w:t>
      </w:r>
      <w:r w:rsidR="002A6DAE" w:rsidRPr="00720776">
        <w:t xml:space="preserve"> </w:t>
      </w:r>
      <w:r w:rsidR="002A6DAE" w:rsidRPr="00720776">
        <w:rPr>
          <w:i w:val="0"/>
        </w:rPr>
        <w:t>(§ 9.2.1 (e) und § 9.2.1 (f) des Kaufvertrags in der Fassung des 1.</w:t>
      </w:r>
      <w:r w:rsidR="00FD3C7F">
        <w:rPr>
          <w:i w:val="0"/>
        </w:rPr>
        <w:t> </w:t>
      </w:r>
      <w:r w:rsidR="002A6DAE" w:rsidRPr="00720776">
        <w:rPr>
          <w:i w:val="0"/>
        </w:rPr>
        <w:t>Nachtrags)</w:t>
      </w:r>
    </w:p>
    <w:p w14:paraId="33616B44" w14:textId="48FC547D" w:rsidR="007C12F1" w:rsidRPr="00720776" w:rsidRDefault="007C12F1" w:rsidP="00FD3C7F">
      <w:pPr>
        <w:numPr>
          <w:ilvl w:val="0"/>
          <w:numId w:val="39"/>
        </w:numPr>
        <w:spacing w:after="100" w:afterAutospacing="1"/>
        <w:rPr>
          <w:rFonts w:eastAsia="Times New Roman" w:cs="Arial"/>
        </w:rPr>
      </w:pPr>
      <w:r w:rsidRPr="00720776">
        <w:rPr>
          <w:rFonts w:eastAsia="Times New Roman" w:cs="Arial"/>
        </w:rPr>
        <w:t xml:space="preserve">des </w:t>
      </w:r>
      <w:r w:rsidRPr="00720776">
        <w:rPr>
          <w:rStyle w:val="Fett"/>
          <w:rFonts w:eastAsia="Times New Roman" w:cs="Arial"/>
          <w:b w:val="0"/>
          <w:bCs w:val="0"/>
        </w:rPr>
        <w:t>Rohbaus 52 Monate</w:t>
      </w:r>
      <w:r w:rsidRPr="00720776">
        <w:rPr>
          <w:rFonts w:eastAsia="Times New Roman" w:cs="Arial"/>
        </w:rPr>
        <w:t xml:space="preserve"> nach Beginn des Bauvorhabens</w:t>
      </w:r>
      <w:r w:rsidR="002A6DAE" w:rsidRPr="00720776">
        <w:rPr>
          <w:rFonts w:eastAsia="Times New Roman" w:cs="Arial"/>
        </w:rPr>
        <w:t xml:space="preserve"> und nach Erhalt</w:t>
      </w:r>
      <w:r w:rsidR="00372FF4" w:rsidRPr="00D17713">
        <w:t xml:space="preserve"> der </w:t>
      </w:r>
      <w:r w:rsidR="002A6DAE" w:rsidRPr="00720776">
        <w:rPr>
          <w:rFonts w:eastAsia="Times New Roman" w:cs="Arial"/>
        </w:rPr>
        <w:t>vollzugsfähigen Baugenehmigung</w:t>
      </w:r>
      <w:r w:rsidRPr="00720776">
        <w:rPr>
          <w:rFonts w:eastAsia="Times New Roman" w:cs="Arial"/>
        </w:rPr>
        <w:t>,</w:t>
      </w:r>
    </w:p>
    <w:p w14:paraId="72D21532" w14:textId="134226AA" w:rsidR="007C12F1" w:rsidRPr="00720776" w:rsidRDefault="007C12F1" w:rsidP="007C12F1">
      <w:pPr>
        <w:numPr>
          <w:ilvl w:val="0"/>
          <w:numId w:val="39"/>
        </w:numPr>
        <w:spacing w:before="100" w:beforeAutospacing="1" w:after="100" w:afterAutospacing="1"/>
        <w:rPr>
          <w:rFonts w:eastAsia="Times New Roman" w:cs="Arial"/>
        </w:rPr>
      </w:pPr>
      <w:r w:rsidRPr="00720776">
        <w:rPr>
          <w:rFonts w:eastAsia="Times New Roman" w:cs="Arial"/>
        </w:rPr>
        <w:t xml:space="preserve">des </w:t>
      </w:r>
      <w:r w:rsidRPr="00720776">
        <w:rPr>
          <w:rStyle w:val="Fett"/>
          <w:rFonts w:eastAsia="Times New Roman" w:cs="Arial"/>
          <w:b w:val="0"/>
          <w:bCs w:val="0"/>
        </w:rPr>
        <w:t>Bauvorhabens 66 Monate</w:t>
      </w:r>
      <w:r w:rsidRPr="00720776">
        <w:rPr>
          <w:rFonts w:eastAsia="Times New Roman" w:cs="Arial"/>
        </w:rPr>
        <w:t xml:space="preserve"> nach Beginn des Bauvorhabens</w:t>
      </w:r>
      <w:r w:rsidR="002A6DAE" w:rsidRPr="00720776">
        <w:rPr>
          <w:rFonts w:eastAsia="Times New Roman" w:cs="Arial"/>
        </w:rPr>
        <w:t xml:space="preserve"> und nach Erhalt</w:t>
      </w:r>
      <w:r w:rsidR="00372FF4" w:rsidRPr="00D17713">
        <w:t xml:space="preserve"> der </w:t>
      </w:r>
      <w:r w:rsidR="002A6DAE" w:rsidRPr="00720776">
        <w:rPr>
          <w:rFonts w:eastAsia="Times New Roman" w:cs="Arial"/>
        </w:rPr>
        <w:t>vollzugsfähigen Baugenehmigung.</w:t>
      </w:r>
    </w:p>
    <w:p w14:paraId="1D5747A5" w14:textId="451BFD74" w:rsidR="00372FF4" w:rsidRPr="00E50847" w:rsidRDefault="007C12F1" w:rsidP="00372FF4">
      <w:pPr>
        <w:pStyle w:val="FrageNummer1"/>
        <w:numPr>
          <w:ilvl w:val="0"/>
          <w:numId w:val="0"/>
        </w:numPr>
      </w:pPr>
      <w:r w:rsidRPr="00DB2BAD">
        <w:rPr>
          <w:i w:val="0"/>
          <w:iCs/>
        </w:rPr>
        <w:t>Vertragsstrafen</w:t>
      </w:r>
      <w:r w:rsidR="00372FF4" w:rsidRPr="00372FF4">
        <w:rPr>
          <w:i w:val="0"/>
        </w:rPr>
        <w:t xml:space="preserve"> werden </w:t>
      </w:r>
      <w:r w:rsidRPr="00720776">
        <w:rPr>
          <w:i w:val="0"/>
        </w:rPr>
        <w:t>fällig bei Nicht-Fertigstellung</w:t>
      </w:r>
      <w:r w:rsidR="002A6DAE" w:rsidRPr="00720776">
        <w:rPr>
          <w:i w:val="0"/>
        </w:rPr>
        <w:t xml:space="preserve"> (§ 17.1.1 (e) und § 17.1.1 (f) des Kaufvertrags in</w:t>
      </w:r>
      <w:r w:rsidR="00372FF4" w:rsidRPr="00372FF4">
        <w:rPr>
          <w:i w:val="0"/>
        </w:rPr>
        <w:t xml:space="preserve"> der </w:t>
      </w:r>
      <w:r w:rsidR="002A6DAE" w:rsidRPr="00720776">
        <w:rPr>
          <w:i w:val="0"/>
        </w:rPr>
        <w:t>Fassung des 1. Nachtrags)</w:t>
      </w:r>
    </w:p>
    <w:p w14:paraId="2B895990" w14:textId="77777777" w:rsidR="007C12F1" w:rsidRPr="00720776" w:rsidRDefault="007C12F1" w:rsidP="00FD3C7F">
      <w:pPr>
        <w:numPr>
          <w:ilvl w:val="0"/>
          <w:numId w:val="40"/>
        </w:numPr>
        <w:spacing w:after="100" w:afterAutospacing="1"/>
        <w:rPr>
          <w:rFonts w:eastAsia="Times New Roman" w:cs="Arial"/>
        </w:rPr>
      </w:pPr>
      <w:r w:rsidRPr="00720776">
        <w:rPr>
          <w:rFonts w:eastAsia="Times New Roman" w:cs="Arial"/>
        </w:rPr>
        <w:t xml:space="preserve">des </w:t>
      </w:r>
      <w:r w:rsidRPr="00720776">
        <w:rPr>
          <w:rStyle w:val="Fett"/>
          <w:rFonts w:eastAsia="Times New Roman" w:cs="Arial"/>
          <w:b w:val="0"/>
          <w:bCs w:val="0"/>
        </w:rPr>
        <w:t>Rohbaus 61 Monate</w:t>
      </w:r>
      <w:r w:rsidRPr="00720776">
        <w:rPr>
          <w:rFonts w:eastAsia="Times New Roman" w:cs="Arial"/>
        </w:rPr>
        <w:t xml:space="preserve"> nach Übergabe </w:t>
      </w:r>
      <w:r w:rsidR="002A6DAE" w:rsidRPr="00720776">
        <w:rPr>
          <w:rFonts w:eastAsia="Times New Roman" w:cs="Arial"/>
        </w:rPr>
        <w:t xml:space="preserve">des Kaufgrundstücks </w:t>
      </w:r>
      <w:r w:rsidRPr="00720776">
        <w:rPr>
          <w:rFonts w:eastAsia="Times New Roman" w:cs="Arial"/>
        </w:rPr>
        <w:t xml:space="preserve">und </w:t>
      </w:r>
      <w:r w:rsidR="002A6DAE" w:rsidRPr="00720776">
        <w:rPr>
          <w:rFonts w:eastAsia="Times New Roman" w:cs="Arial"/>
        </w:rPr>
        <w:t xml:space="preserve">Erhalt der vollzugsfähigen </w:t>
      </w:r>
      <w:r w:rsidRPr="00720776">
        <w:rPr>
          <w:rFonts w:eastAsia="Times New Roman" w:cs="Arial"/>
        </w:rPr>
        <w:t>Baugenehmigung,</w:t>
      </w:r>
    </w:p>
    <w:p w14:paraId="4F3DA0D5" w14:textId="77777777" w:rsidR="007C12F1" w:rsidRPr="00720776" w:rsidRDefault="007C12F1" w:rsidP="007C12F1">
      <w:pPr>
        <w:numPr>
          <w:ilvl w:val="0"/>
          <w:numId w:val="40"/>
        </w:numPr>
        <w:spacing w:before="100" w:beforeAutospacing="1" w:after="100" w:afterAutospacing="1"/>
        <w:rPr>
          <w:rFonts w:eastAsia="Times New Roman" w:cs="Arial"/>
        </w:rPr>
      </w:pPr>
      <w:r w:rsidRPr="00720776">
        <w:rPr>
          <w:rFonts w:eastAsia="Times New Roman" w:cs="Arial"/>
        </w:rPr>
        <w:t xml:space="preserve">des </w:t>
      </w:r>
      <w:r w:rsidRPr="00720776">
        <w:rPr>
          <w:rStyle w:val="Fett"/>
          <w:rFonts w:eastAsia="Times New Roman" w:cs="Arial"/>
          <w:b w:val="0"/>
          <w:bCs w:val="0"/>
        </w:rPr>
        <w:t>Bauvorhabens 78 Monate</w:t>
      </w:r>
      <w:r w:rsidRPr="00720776">
        <w:rPr>
          <w:rFonts w:eastAsia="Times New Roman" w:cs="Arial"/>
        </w:rPr>
        <w:t xml:space="preserve"> nach Übergabe </w:t>
      </w:r>
      <w:r w:rsidR="002A6DAE" w:rsidRPr="00720776">
        <w:rPr>
          <w:rFonts w:eastAsia="Times New Roman" w:cs="Arial"/>
        </w:rPr>
        <w:t xml:space="preserve">des Kaufgrundstücks und Erhalt der vollzugsfähigen Baugenehmigung </w:t>
      </w:r>
      <w:r w:rsidRPr="00720776">
        <w:rPr>
          <w:rFonts w:eastAsia="Times New Roman" w:cs="Arial"/>
        </w:rPr>
        <w:t>und Baugenehmigung</w:t>
      </w:r>
      <w:r w:rsidR="002A6DAE" w:rsidRPr="00720776">
        <w:rPr>
          <w:rFonts w:eastAsia="Times New Roman" w:cs="Arial"/>
        </w:rPr>
        <w:t>.</w:t>
      </w:r>
    </w:p>
    <w:p w14:paraId="0A4FFC13" w14:textId="77777777" w:rsidR="007C12F1" w:rsidRPr="00720776" w:rsidRDefault="00B00EB7" w:rsidP="00766651">
      <w:pPr>
        <w:pStyle w:val="FrageNummer1"/>
        <w:numPr>
          <w:ilvl w:val="0"/>
          <w:numId w:val="0"/>
        </w:numPr>
      </w:pPr>
      <w:r>
        <w:rPr>
          <w:i w:val="0"/>
        </w:rPr>
        <w:t>Ein</w:t>
      </w:r>
      <w:r w:rsidR="007C12F1" w:rsidRPr="00720776">
        <w:rPr>
          <w:i w:val="0"/>
        </w:rPr>
        <w:t xml:space="preserve"> </w:t>
      </w:r>
      <w:r w:rsidR="007C12F1" w:rsidRPr="00DB2BAD">
        <w:rPr>
          <w:i w:val="0"/>
          <w:iCs/>
        </w:rPr>
        <w:t>Wiederkaufs</w:t>
      </w:r>
      <w:r w:rsidRPr="00DB2BAD">
        <w:rPr>
          <w:i w:val="0"/>
          <w:iCs/>
        </w:rPr>
        <w:t>recht</w:t>
      </w:r>
      <w:r w:rsidR="007C12F1" w:rsidRPr="00720776">
        <w:rPr>
          <w:i w:val="0"/>
        </w:rPr>
        <w:t xml:space="preserve"> tritt ein bei Nicht-Fertigstellung</w:t>
      </w:r>
      <w:r w:rsidR="002A6DAE" w:rsidRPr="00720776">
        <w:rPr>
          <w:i w:val="0"/>
        </w:rPr>
        <w:t xml:space="preserve"> (§ 19.1.1 (c) und § 19.1.1 (d) des Kaufvertrags in der Fassung des 1. Nachtrags)</w:t>
      </w:r>
    </w:p>
    <w:p w14:paraId="39861F92" w14:textId="77777777" w:rsidR="007C12F1" w:rsidRPr="00720776" w:rsidRDefault="007C12F1" w:rsidP="00FD3C7F">
      <w:pPr>
        <w:numPr>
          <w:ilvl w:val="0"/>
          <w:numId w:val="41"/>
        </w:numPr>
        <w:tabs>
          <w:tab w:val="clear" w:pos="720"/>
        </w:tabs>
        <w:spacing w:after="100" w:afterAutospacing="1"/>
        <w:ind w:left="426"/>
        <w:rPr>
          <w:rFonts w:eastAsia="Times New Roman" w:cs="Arial"/>
        </w:rPr>
      </w:pPr>
      <w:r w:rsidRPr="00720776">
        <w:rPr>
          <w:rFonts w:eastAsia="Times New Roman" w:cs="Arial"/>
        </w:rPr>
        <w:t xml:space="preserve">des </w:t>
      </w:r>
      <w:r w:rsidRPr="00720776">
        <w:rPr>
          <w:rStyle w:val="Fett"/>
          <w:rFonts w:eastAsia="Times New Roman" w:cs="Arial"/>
          <w:b w:val="0"/>
          <w:bCs w:val="0"/>
        </w:rPr>
        <w:t>Rohbaus 73 Monate</w:t>
      </w:r>
      <w:r w:rsidRPr="00720776">
        <w:rPr>
          <w:rFonts w:eastAsia="Times New Roman" w:cs="Arial"/>
        </w:rPr>
        <w:t xml:space="preserve"> </w:t>
      </w:r>
      <w:r w:rsidR="00EA1CCC" w:rsidRPr="00720776">
        <w:rPr>
          <w:rFonts w:eastAsia="Times New Roman" w:cs="Arial"/>
        </w:rPr>
        <w:t>nach Übergabe des Kaufgrundstücks und Erhalt der vollzugsfähigen Baugenehmigung</w:t>
      </w:r>
      <w:r w:rsidRPr="00720776">
        <w:rPr>
          <w:rFonts w:eastAsia="Times New Roman" w:cs="Arial"/>
        </w:rPr>
        <w:t>,</w:t>
      </w:r>
    </w:p>
    <w:p w14:paraId="6976067E" w14:textId="77777777" w:rsidR="007C12F1" w:rsidRPr="00720776" w:rsidRDefault="007C12F1" w:rsidP="00FD3C7F">
      <w:pPr>
        <w:numPr>
          <w:ilvl w:val="0"/>
          <w:numId w:val="41"/>
        </w:numPr>
        <w:tabs>
          <w:tab w:val="clear" w:pos="720"/>
        </w:tabs>
        <w:spacing w:before="100" w:beforeAutospacing="1" w:after="100" w:afterAutospacing="1"/>
        <w:ind w:left="426"/>
        <w:rPr>
          <w:rFonts w:eastAsia="Times New Roman" w:cs="Arial"/>
        </w:rPr>
      </w:pPr>
      <w:r w:rsidRPr="00720776">
        <w:rPr>
          <w:rFonts w:eastAsia="Times New Roman" w:cs="Arial"/>
        </w:rPr>
        <w:t xml:space="preserve">des </w:t>
      </w:r>
      <w:r w:rsidRPr="00720776">
        <w:rPr>
          <w:rStyle w:val="Fett"/>
          <w:rFonts w:eastAsia="Times New Roman" w:cs="Arial"/>
          <w:b w:val="0"/>
          <w:bCs w:val="0"/>
        </w:rPr>
        <w:t>Bauvorhabens 96 Monate</w:t>
      </w:r>
      <w:r w:rsidRPr="00720776">
        <w:rPr>
          <w:rFonts w:eastAsia="Times New Roman" w:cs="Arial"/>
        </w:rPr>
        <w:t xml:space="preserve"> </w:t>
      </w:r>
      <w:r w:rsidR="00EA1CCC" w:rsidRPr="00720776">
        <w:rPr>
          <w:rFonts w:eastAsia="Times New Roman" w:cs="Arial"/>
        </w:rPr>
        <w:t>nach Übergabe des Kaufgrundstücks und Erhalt der vollzugsfähigen Baugenehmigung.</w:t>
      </w:r>
    </w:p>
    <w:p w14:paraId="4A1DDE95" w14:textId="48133468" w:rsidR="00372FF4" w:rsidRPr="00372FF4" w:rsidRDefault="00EA1CCC" w:rsidP="00372FF4">
      <w:pPr>
        <w:pStyle w:val="FrageNummer1"/>
        <w:numPr>
          <w:ilvl w:val="0"/>
          <w:numId w:val="0"/>
        </w:numPr>
        <w:rPr>
          <w:i w:val="0"/>
        </w:rPr>
      </w:pPr>
      <w:r w:rsidRPr="00720776">
        <w:rPr>
          <w:i w:val="0"/>
        </w:rPr>
        <w:t xml:space="preserve">Darüber hinaus ist im </w:t>
      </w:r>
      <w:r w:rsidR="00372FF4" w:rsidRPr="00372FF4">
        <w:rPr>
          <w:i w:val="0"/>
        </w:rPr>
        <w:t xml:space="preserve">Grundstückskaufvertrag </w:t>
      </w:r>
      <w:r w:rsidRPr="00720776">
        <w:rPr>
          <w:i w:val="0"/>
        </w:rPr>
        <w:t>die Rechtsposition</w:t>
      </w:r>
      <w:r w:rsidR="00B54D28">
        <w:rPr>
          <w:i w:val="0"/>
        </w:rPr>
        <w:t xml:space="preserve"> der </w:t>
      </w:r>
      <w:r w:rsidR="00766651" w:rsidRPr="00720776">
        <w:rPr>
          <w:i w:val="0"/>
        </w:rPr>
        <w:t>F</w:t>
      </w:r>
      <w:r w:rsidRPr="00720776">
        <w:rPr>
          <w:i w:val="0"/>
        </w:rPr>
        <w:t xml:space="preserve">HH </w:t>
      </w:r>
      <w:r w:rsidR="00110735">
        <w:rPr>
          <w:i w:val="0"/>
        </w:rPr>
        <w:t>zudem</w:t>
      </w:r>
      <w:r w:rsidR="00372FF4" w:rsidRPr="00372FF4">
        <w:rPr>
          <w:i w:val="0"/>
        </w:rPr>
        <w:t xml:space="preserve"> durch </w:t>
      </w:r>
      <w:r w:rsidRPr="00720776">
        <w:rPr>
          <w:i w:val="0"/>
        </w:rPr>
        <w:t>ein</w:t>
      </w:r>
      <w:r w:rsidR="00372FF4" w:rsidRPr="00372FF4">
        <w:rPr>
          <w:i w:val="0"/>
        </w:rPr>
        <w:t xml:space="preserve"> Wiederkaufsrecht für </w:t>
      </w:r>
      <w:r w:rsidR="00740FEB">
        <w:rPr>
          <w:i w:val="0"/>
        </w:rPr>
        <w:t xml:space="preserve">den Fall der </w:t>
      </w:r>
      <w:r w:rsidR="00372FF4" w:rsidRPr="00372FF4">
        <w:rPr>
          <w:i w:val="0"/>
        </w:rPr>
        <w:t xml:space="preserve">Wirtschaftlichen Verschlechterung (§ 10.7 des Grundstückskaufvertrags) </w:t>
      </w:r>
      <w:r w:rsidRPr="00720776">
        <w:rPr>
          <w:i w:val="0"/>
        </w:rPr>
        <w:t>gesichert</w:t>
      </w:r>
      <w:r w:rsidR="00372FF4" w:rsidRPr="00372FF4">
        <w:rPr>
          <w:i w:val="0"/>
        </w:rPr>
        <w:t xml:space="preserve">. Eine Wirtschaftliche Verschlechterung meint im Wesentlichen den Insolvenzfall. Ein solcher Insolvenzfall kann aber gerade jederzeit und unabhängig von Fristen auftreten. Dementsprechend kann </w:t>
      </w:r>
      <w:r w:rsidR="00372FF4" w:rsidRPr="00372FF4">
        <w:rPr>
          <w:i w:val="0"/>
        </w:rPr>
        <w:lastRenderedPageBreak/>
        <w:t xml:space="preserve">ein Wiederkaufsrecht, welches im Fall der Wirtschaftlichen Verschlechterung einschlägig ist, auch gerade nicht an Fristen gebunden werden. </w:t>
      </w:r>
      <w:r w:rsidR="00174DE4" w:rsidRPr="00720776">
        <w:rPr>
          <w:i w:val="0"/>
        </w:rPr>
        <w:t>Nach § 19</w:t>
      </w:r>
      <w:r w:rsidR="00110735">
        <w:rPr>
          <w:i w:val="0"/>
        </w:rPr>
        <w:t>.1.3</w:t>
      </w:r>
      <w:r w:rsidR="00174DE4" w:rsidRPr="00720776">
        <w:rPr>
          <w:i w:val="0"/>
        </w:rPr>
        <w:t xml:space="preserve"> des Grundstückskaufvertrages kann der Wiederkauf im Falle der </w:t>
      </w:r>
      <w:r w:rsidR="00110735">
        <w:rPr>
          <w:i w:val="0"/>
        </w:rPr>
        <w:t>Wirtschaftlichen Verschlechterung</w:t>
      </w:r>
      <w:r w:rsidR="00110735" w:rsidRPr="00720776">
        <w:rPr>
          <w:i w:val="0"/>
        </w:rPr>
        <w:t xml:space="preserve"> </w:t>
      </w:r>
      <w:r w:rsidR="00174DE4" w:rsidRPr="00720776">
        <w:rPr>
          <w:i w:val="0"/>
        </w:rPr>
        <w:t xml:space="preserve">der Käufergesellschaft </w:t>
      </w:r>
      <w:r w:rsidR="00174DE4">
        <w:rPr>
          <w:i w:val="0"/>
        </w:rPr>
        <w:t xml:space="preserve">auch </w:t>
      </w:r>
      <w:r w:rsidR="00174DE4" w:rsidRPr="00720776">
        <w:rPr>
          <w:i w:val="0"/>
        </w:rPr>
        <w:t>bereits während der Bauphase geltend gemacht werden</w:t>
      </w:r>
      <w:r w:rsidR="00372FF4" w:rsidRPr="00372FF4">
        <w:rPr>
          <w:i w:val="0"/>
        </w:rPr>
        <w:t>.</w:t>
      </w:r>
    </w:p>
    <w:p w14:paraId="31AFEB92" w14:textId="2C2B35C0" w:rsidR="00740FEB" w:rsidRDefault="00110735" w:rsidP="00DB2BAD">
      <w:pPr>
        <w:pStyle w:val="FrageNummer1"/>
        <w:numPr>
          <w:ilvl w:val="0"/>
          <w:numId w:val="0"/>
        </w:numPr>
        <w:rPr>
          <w:i w:val="0"/>
        </w:rPr>
      </w:pPr>
      <w:r w:rsidRPr="00720776">
        <w:rPr>
          <w:i w:val="0"/>
        </w:rPr>
        <w:t xml:space="preserve">Der Grundstückskaufvertrag wird in der Öffentlichkeit derzeit durch das Herauslösen von Satzbestandteilen teilweise falsch </w:t>
      </w:r>
      <w:r w:rsidRPr="002155CB">
        <w:rPr>
          <w:i w:val="0"/>
        </w:rPr>
        <w:t>ausgelegt. Insbesondere führt die Herauslösung von</w:t>
      </w:r>
      <w:r w:rsidR="00372FF4" w:rsidRPr="002155CB">
        <w:rPr>
          <w:i w:val="0"/>
        </w:rPr>
        <w:t xml:space="preserve"> § 19.1.3 des Grundstückskaufvertrags</w:t>
      </w:r>
      <w:r w:rsidR="00820D59" w:rsidRPr="002155CB">
        <w:rPr>
          <w:i w:val="0"/>
        </w:rPr>
        <w:t xml:space="preserve"> </w:t>
      </w:r>
      <w:r w:rsidRPr="002155CB">
        <w:rPr>
          <w:i w:val="0"/>
        </w:rPr>
        <w:t xml:space="preserve">aus dem Zusammenhang </w:t>
      </w:r>
      <w:r w:rsidR="00372FF4" w:rsidRPr="002155CB">
        <w:rPr>
          <w:i w:val="0"/>
        </w:rPr>
        <w:t xml:space="preserve">zu </w:t>
      </w:r>
      <w:r w:rsidR="00A74D24" w:rsidRPr="002155CB">
        <w:rPr>
          <w:i w:val="0"/>
        </w:rPr>
        <w:t xml:space="preserve">einer </w:t>
      </w:r>
      <w:r w:rsidR="00372FF4" w:rsidRPr="002155CB">
        <w:rPr>
          <w:i w:val="0"/>
        </w:rPr>
        <w:t>Fehlinterpretation</w:t>
      </w:r>
      <w:r w:rsidRPr="002155CB">
        <w:rPr>
          <w:i w:val="0"/>
        </w:rPr>
        <w:t>. Die Inhalte des Grundstückskaufvertrages erschließen sich korrekt aber nur aus dem Gesamtzusammenhang</w:t>
      </w:r>
      <w:r>
        <w:rPr>
          <w:i w:val="0"/>
        </w:rPr>
        <w:t xml:space="preserve">. </w:t>
      </w:r>
      <w:r w:rsidR="00D25391">
        <w:rPr>
          <w:i w:val="0"/>
        </w:rPr>
        <w:t>So regelt § 19.1.3</w:t>
      </w:r>
      <w:r w:rsidR="00FD3C7F">
        <w:rPr>
          <w:i w:val="0"/>
        </w:rPr>
        <w:t xml:space="preserve"> </w:t>
      </w:r>
      <w:r w:rsidR="00372FF4" w:rsidRPr="00372FF4">
        <w:rPr>
          <w:i w:val="0"/>
        </w:rPr>
        <w:t xml:space="preserve">lediglich die </w:t>
      </w:r>
      <w:r w:rsidR="00174DE4">
        <w:rPr>
          <w:i w:val="0"/>
        </w:rPr>
        <w:t xml:space="preserve">maximale </w:t>
      </w:r>
      <w:r w:rsidR="00372FF4" w:rsidRPr="00372FF4">
        <w:rPr>
          <w:i w:val="0"/>
        </w:rPr>
        <w:t xml:space="preserve">Geltungsdauer des Wiederkaufsrechts bei </w:t>
      </w:r>
      <w:r>
        <w:rPr>
          <w:i w:val="0"/>
        </w:rPr>
        <w:t>W</w:t>
      </w:r>
      <w:r w:rsidRPr="00372FF4">
        <w:rPr>
          <w:i w:val="0"/>
        </w:rPr>
        <w:t xml:space="preserve">irtschaftlicher </w:t>
      </w:r>
      <w:r w:rsidR="00372FF4" w:rsidRPr="00372FF4">
        <w:rPr>
          <w:i w:val="0"/>
        </w:rPr>
        <w:t>Verschlechterung. Diese</w:t>
      </w:r>
      <w:r>
        <w:rPr>
          <w:i w:val="0"/>
        </w:rPr>
        <w:t>s</w:t>
      </w:r>
      <w:r w:rsidR="00372FF4" w:rsidRPr="00372FF4">
        <w:rPr>
          <w:i w:val="0"/>
        </w:rPr>
        <w:t xml:space="preserve"> endet ein Jahr nach Fertigstellung des Gesamtvorhabens.</w:t>
      </w:r>
      <w:r w:rsidR="00054F79">
        <w:rPr>
          <w:i w:val="0"/>
        </w:rPr>
        <w:t xml:space="preserve"> </w:t>
      </w:r>
      <w:r w:rsidR="00574537">
        <w:rPr>
          <w:i w:val="0"/>
        </w:rPr>
        <w:t xml:space="preserve">Der </w:t>
      </w:r>
      <w:r w:rsidR="008F5E85" w:rsidRPr="008F5E85">
        <w:rPr>
          <w:i w:val="0"/>
        </w:rPr>
        <w:t xml:space="preserve">Grundstückskaufvertrag </w:t>
      </w:r>
      <w:r w:rsidR="00174DE4">
        <w:rPr>
          <w:i w:val="0"/>
        </w:rPr>
        <w:t xml:space="preserve">setzt allerdings </w:t>
      </w:r>
      <w:r w:rsidR="00574537">
        <w:rPr>
          <w:i w:val="0"/>
        </w:rPr>
        <w:t>beispielsweise mit „</w:t>
      </w:r>
      <w:r w:rsidR="005904D2">
        <w:rPr>
          <w:i w:val="0"/>
        </w:rPr>
        <w:t xml:space="preserve">§ 9.4 </w:t>
      </w:r>
      <w:r w:rsidR="008F5E85" w:rsidRPr="008F5E85">
        <w:rPr>
          <w:i w:val="0"/>
        </w:rPr>
        <w:t>Eintrittsrechte in Planer- und Bauverträge</w:t>
      </w:r>
      <w:r w:rsidR="00574537">
        <w:rPr>
          <w:i w:val="0"/>
        </w:rPr>
        <w:t xml:space="preserve">“ eine </w:t>
      </w:r>
      <w:r w:rsidR="008F5E85" w:rsidRPr="008F5E85">
        <w:rPr>
          <w:i w:val="0"/>
        </w:rPr>
        <w:t>Wiederkauf</w:t>
      </w:r>
      <w:r w:rsidR="00574537">
        <w:rPr>
          <w:i w:val="0"/>
        </w:rPr>
        <w:t>smöglichkeit</w:t>
      </w:r>
      <w:r w:rsidR="008F5E85" w:rsidRPr="008F5E85">
        <w:rPr>
          <w:i w:val="0"/>
        </w:rPr>
        <w:t xml:space="preserve"> </w:t>
      </w:r>
      <w:r>
        <w:rPr>
          <w:i w:val="0"/>
        </w:rPr>
        <w:t xml:space="preserve">auch </w:t>
      </w:r>
      <w:r w:rsidR="008F5E85" w:rsidRPr="008F5E85">
        <w:rPr>
          <w:i w:val="0"/>
        </w:rPr>
        <w:t>vor Fertigstellung</w:t>
      </w:r>
      <w:r w:rsidR="00C0607D">
        <w:rPr>
          <w:i w:val="0"/>
        </w:rPr>
        <w:t xml:space="preserve"> </w:t>
      </w:r>
      <w:r w:rsidR="00574537">
        <w:rPr>
          <w:i w:val="0"/>
        </w:rPr>
        <w:t>voraus</w:t>
      </w:r>
      <w:r w:rsidR="008F5E85" w:rsidRPr="008F5E85">
        <w:rPr>
          <w:i w:val="0"/>
        </w:rPr>
        <w:t>.</w:t>
      </w:r>
      <w:r w:rsidR="00740FEB">
        <w:rPr>
          <w:i w:val="0"/>
        </w:rPr>
        <w:t xml:space="preserve"> </w:t>
      </w:r>
    </w:p>
    <w:p w14:paraId="228AC3C0" w14:textId="628F171C" w:rsidR="008F5E85" w:rsidRPr="00372FF4" w:rsidRDefault="008F5E85" w:rsidP="008F5E85">
      <w:pPr>
        <w:pStyle w:val="FrageNummer1"/>
        <w:numPr>
          <w:ilvl w:val="0"/>
          <w:numId w:val="0"/>
        </w:numPr>
        <w:rPr>
          <w:i w:val="0"/>
        </w:rPr>
      </w:pPr>
      <w:r w:rsidRPr="008F5E85">
        <w:rPr>
          <w:i w:val="0"/>
        </w:rPr>
        <w:t xml:space="preserve">Die Möglichkeit zum Wiederkauf bei einer Wirtschaftlichen Verschlechterung </w:t>
      </w:r>
      <w:r w:rsidR="00174DE4">
        <w:rPr>
          <w:i w:val="0"/>
        </w:rPr>
        <w:t xml:space="preserve">bis zu </w:t>
      </w:r>
      <w:r w:rsidRPr="008F5E85">
        <w:rPr>
          <w:i w:val="0"/>
        </w:rPr>
        <w:t>ein</w:t>
      </w:r>
      <w:r w:rsidR="00174DE4">
        <w:rPr>
          <w:i w:val="0"/>
        </w:rPr>
        <w:t>em</w:t>
      </w:r>
      <w:r w:rsidRPr="008F5E85">
        <w:rPr>
          <w:i w:val="0"/>
        </w:rPr>
        <w:t xml:space="preserve"> Jahr nach Fertigstellung </w:t>
      </w:r>
      <w:r w:rsidR="00174DE4">
        <w:rPr>
          <w:i w:val="0"/>
        </w:rPr>
        <w:t>ist</w:t>
      </w:r>
      <w:r w:rsidRPr="008F5E85">
        <w:rPr>
          <w:i w:val="0"/>
        </w:rPr>
        <w:t xml:space="preserve"> ein Verhandlungsergebnis, das den jeweiligen Interessenlagen Rechnung trägt.</w:t>
      </w:r>
    </w:p>
    <w:p w14:paraId="76E8A420" w14:textId="12C70532" w:rsidR="00207D79" w:rsidRPr="00207D79" w:rsidRDefault="00372FF4" w:rsidP="008F5E85">
      <w:pPr>
        <w:pStyle w:val="FrageNummer1"/>
        <w:numPr>
          <w:ilvl w:val="0"/>
          <w:numId w:val="0"/>
        </w:numPr>
        <w:rPr>
          <w:i w:val="0"/>
        </w:rPr>
      </w:pPr>
      <w:r w:rsidRPr="00283212">
        <w:rPr>
          <w:i w:val="0"/>
        </w:rPr>
        <w:t>Dies vorausgeschickt, beantwortet d</w:t>
      </w:r>
      <w:r w:rsidR="00207D79" w:rsidRPr="00283212">
        <w:rPr>
          <w:i w:val="0"/>
        </w:rPr>
        <w:t>er Senat die Fragen auf der Grundlage von Auskünften</w:t>
      </w:r>
      <w:r w:rsidR="00207D79">
        <w:rPr>
          <w:i w:val="0"/>
        </w:rPr>
        <w:t xml:space="preserve"> der HafenCity Hamburg GmbH (HCH) wie folgt:</w:t>
      </w:r>
    </w:p>
    <w:p w14:paraId="356B0490" w14:textId="77777777" w:rsidR="00A13A5D" w:rsidRPr="00797277" w:rsidRDefault="00A13A5D" w:rsidP="00FD3C7F">
      <w:pPr>
        <w:pStyle w:val="FrageZwischenberschrift"/>
        <w:rPr>
          <w:i/>
        </w:rPr>
      </w:pPr>
      <w:r w:rsidRPr="00797277">
        <w:rPr>
          <w:i/>
        </w:rPr>
        <w:t>Insolvenz und Wiederkaufsrecht</w:t>
      </w:r>
    </w:p>
    <w:p w14:paraId="659AD38A" w14:textId="77777777" w:rsidR="00A13A5D" w:rsidRDefault="00A13A5D" w:rsidP="00A13A5D">
      <w:pPr>
        <w:pStyle w:val="FrageVorbemerkung"/>
        <w:numPr>
          <w:ilvl w:val="0"/>
          <w:numId w:val="37"/>
        </w:numPr>
      </w:pPr>
      <w:r>
        <w:t>Im Grundstückskaufvertrag (GKV) steht unter § 19.1.3: „Nach dem Übergang des Eigentums des Kaufgrundstücks auf den Käufer ist die Verkäuferin zum Wiederkauf des Kaufgrundstücks berechtigt (und das Wiederkaufsrecht entsteht auch erst aufschiebend bedingt mit dem Übergang des Eigentums des Kaufgrundstücks auf den Käufer) und kann die Rückübertragung in den folgenden Fällen verlangen (sonstige Umstände):</w:t>
      </w:r>
    </w:p>
    <w:p w14:paraId="7FB23D0E" w14:textId="77777777" w:rsidR="00A13A5D" w:rsidRDefault="00A13A5D" w:rsidP="00FD3C7F">
      <w:pPr>
        <w:pStyle w:val="FrageVorbemerkung"/>
        <w:numPr>
          <w:ilvl w:val="0"/>
          <w:numId w:val="38"/>
        </w:numPr>
        <w:spacing w:before="0"/>
      </w:pPr>
      <w:r>
        <w:t>Eintritt einer Wirtschaftliche Verschlechterung des Käufers gemäß § 10.7. innerhalb - geschwärzt – nach Fertigstellung.“ (Anmerkung HS: das „n“ bei „Wirtschaftliche“ fehlt im Original)</w:t>
      </w:r>
    </w:p>
    <w:p w14:paraId="73DD3FD0" w14:textId="77777777" w:rsidR="00A13A5D" w:rsidRPr="00077607" w:rsidRDefault="00A13A5D" w:rsidP="00FD3C7F">
      <w:pPr>
        <w:pStyle w:val="FrageNummer1"/>
        <w:numPr>
          <w:ilvl w:val="0"/>
          <w:numId w:val="0"/>
        </w:numPr>
        <w:spacing w:before="0"/>
        <w:ind w:left="1588" w:hanging="1588"/>
      </w:pPr>
      <w:r>
        <w:tab/>
        <w:t>In der Drucksache 22/13451, Nr. 6-7, antwortet der Senat auf meine Frage, welche Regelung bei einer Insolvenz während der Bauzeit eintritt jedoch: „</w:t>
      </w:r>
      <w:r w:rsidRPr="00077607">
        <w:t>Gemäß § 19.1.3 ist der Wiederkauf aufgrund einer Wirtschaftlichen Verschlechterung (wie in § 10.7 des Grundstückskaufvertrags definiert) ab dem Übergang des Eigentums des Grundstücks auf die Käuferin bis ein Jahr nach Fertigstellung möglich.</w:t>
      </w:r>
      <w:r>
        <w:t xml:space="preserve">“ Der genannte Paragraf enthält jedoch nur die Frist von einem Jahr nach Fertigstellung. </w:t>
      </w:r>
    </w:p>
    <w:p w14:paraId="09E606FA" w14:textId="77777777" w:rsidR="00A13A5D" w:rsidRDefault="00A13A5D" w:rsidP="00FD3C7F">
      <w:pPr>
        <w:pStyle w:val="FrageNummer1"/>
        <w:numPr>
          <w:ilvl w:val="0"/>
          <w:numId w:val="36"/>
        </w:numPr>
        <w:spacing w:before="0"/>
      </w:pPr>
      <w:r>
        <w:t>Weshalb weicht der Senat in seiner Antwort auf meine Frage in der Drucksache 22/13451 von der vertraglich geregelten Frist - die erst nach Fertigstellung greift - ab und suggeriert, es gäbe ab dem Eigentumsübergang ein Wiederkaufsrecht? Bitte auch die Paragrafen angeben, auf die der Senat seine womöglich falsche Angabe stützt. Sollten es Paragrafen sein, die sich nicht in der veröffentlichten letzten Fassung des GKV befinden, bitte den Wortlaut und den Grund für die Nichtveröffentlichung nennen.</w:t>
      </w:r>
    </w:p>
    <w:p w14:paraId="58A65466" w14:textId="77777777" w:rsidR="00A13A5D" w:rsidRDefault="00A13A5D" w:rsidP="00FD3C7F">
      <w:pPr>
        <w:pStyle w:val="FrageNummer1"/>
        <w:numPr>
          <w:ilvl w:val="0"/>
          <w:numId w:val="36"/>
        </w:numPr>
        <w:spacing w:before="0"/>
      </w:pPr>
      <w:r>
        <w:t>Weshalb wurde diese Klausel in den GKV aufgenommen, wenn es doch immer darum ging, sich gegen Probleme auch während der Bauzeit (Ziel: keine Bauruine entstehen lassen) abzusichern?</w:t>
      </w:r>
    </w:p>
    <w:p w14:paraId="0000B403" w14:textId="77777777" w:rsidR="00A13A5D" w:rsidRDefault="00A13A5D" w:rsidP="00FD3C7F">
      <w:pPr>
        <w:pStyle w:val="FrageNummer1"/>
        <w:numPr>
          <w:ilvl w:val="0"/>
          <w:numId w:val="36"/>
        </w:numPr>
        <w:spacing w:before="0"/>
      </w:pPr>
      <w:r>
        <w:t xml:space="preserve">Weshalb wurde überhaupt eine Frist aufgenommen, wenn die einfachere und zielführendere Regelung gewesen wäre, die Frist zu streichen: „(a) Eintritt einer Wirtschaftlichen Verschlechterung des Käufers gemäß § 10.7. </w:t>
      </w:r>
      <w:r w:rsidRPr="00A31649">
        <w:rPr>
          <w:strike/>
        </w:rPr>
        <w:t>innerhalb - geschwärzt – nach Fertigstellung</w:t>
      </w:r>
      <w:r>
        <w:t>.“?</w:t>
      </w:r>
    </w:p>
    <w:p w14:paraId="36067A3B" w14:textId="77777777" w:rsidR="00A13A5D" w:rsidRDefault="00A13A5D" w:rsidP="00FD3C7F">
      <w:pPr>
        <w:pStyle w:val="FrageNummer1"/>
        <w:numPr>
          <w:ilvl w:val="0"/>
          <w:numId w:val="36"/>
        </w:numPr>
        <w:spacing w:before="0"/>
      </w:pPr>
      <w:r>
        <w:t xml:space="preserve">Welche Möglichkeiten hat der Senat diesen – laut ZEIT ONLINE vom 29.11.23 – „offensichtlichen Fehler in der Vertragsgestaltung“ zu heilen? </w:t>
      </w:r>
    </w:p>
    <w:p w14:paraId="4BE2B243" w14:textId="77777777" w:rsidR="008F5E85" w:rsidRPr="008F5E85" w:rsidRDefault="008F5E85" w:rsidP="00D17713">
      <w:pPr>
        <w:pStyle w:val="FrageNummer1"/>
        <w:numPr>
          <w:ilvl w:val="0"/>
          <w:numId w:val="0"/>
        </w:numPr>
        <w:ind w:left="1588" w:hanging="1588"/>
        <w:rPr>
          <w:i w:val="0"/>
        </w:rPr>
      </w:pPr>
      <w:r>
        <w:rPr>
          <w:i w:val="0"/>
        </w:rPr>
        <w:t>Siehe Vorbemerkung.</w:t>
      </w:r>
    </w:p>
    <w:p w14:paraId="318C0A8B" w14:textId="1B84DBED" w:rsidR="00A13A5D" w:rsidRDefault="00A13A5D" w:rsidP="00A13A5D">
      <w:pPr>
        <w:pStyle w:val="FrageNummer1"/>
        <w:numPr>
          <w:ilvl w:val="0"/>
          <w:numId w:val="36"/>
        </w:numPr>
      </w:pPr>
      <w:r>
        <w:t>Welche Möglichkeiten bestehen in diesem Zusammenhang, im Nachhinein den Willen der Vertragsparteien zu ermitteln, angesichts der Tatsache, dass während der Vertragsverhandlungen keine Protokolle geführt wurden?</w:t>
      </w:r>
    </w:p>
    <w:p w14:paraId="52DD95F8" w14:textId="77777777" w:rsidR="008F5E85" w:rsidRPr="008F5E85" w:rsidRDefault="005904D2" w:rsidP="008F5E85">
      <w:pPr>
        <w:pStyle w:val="FrageNummer1"/>
        <w:numPr>
          <w:ilvl w:val="0"/>
          <w:numId w:val="0"/>
        </w:numPr>
        <w:rPr>
          <w:i w:val="0"/>
        </w:rPr>
      </w:pPr>
      <w:r>
        <w:rPr>
          <w:i w:val="0"/>
        </w:rPr>
        <w:t>Es gilt die juristische Auslegungsmethodik. Im Übrigen s</w:t>
      </w:r>
      <w:r w:rsidR="008F5E85">
        <w:rPr>
          <w:i w:val="0"/>
        </w:rPr>
        <w:t>iehe Vorbemerkung.</w:t>
      </w:r>
      <w:r>
        <w:rPr>
          <w:i w:val="0"/>
        </w:rPr>
        <w:t xml:space="preserve"> </w:t>
      </w:r>
    </w:p>
    <w:p w14:paraId="647D4758" w14:textId="0C2DC76A" w:rsidR="00A13A5D" w:rsidRDefault="00A13A5D" w:rsidP="00A13A5D">
      <w:pPr>
        <w:pStyle w:val="FrageNummer1"/>
        <w:numPr>
          <w:ilvl w:val="0"/>
          <w:numId w:val="36"/>
        </w:numPr>
      </w:pPr>
      <w:r w:rsidRPr="0026213E">
        <w:rPr>
          <w:vanish/>
        </w:rPr>
        <w:lastRenderedPageBreak/>
        <w:t>Welche</w:t>
      </w:r>
      <w:r>
        <w:t>Hat der Senat Vorbereitungen getroffen, um im Falle einer Insolvenz der im GKV genannten Hamburg, Elbtower Immobilien GmbH&amp;Co KG oder der SIGNA Prime Selection AG schnell handlungsfähig zu sein? Falls ja: Welche? Falls nein: Weshalb nicht?</w:t>
      </w:r>
    </w:p>
    <w:p w14:paraId="5347EA33" w14:textId="0B7FEECB" w:rsidR="002732EE" w:rsidRPr="002732EE" w:rsidRDefault="002732EE" w:rsidP="002732EE">
      <w:pPr>
        <w:pStyle w:val="FrageNummer1"/>
        <w:numPr>
          <w:ilvl w:val="0"/>
          <w:numId w:val="0"/>
        </w:numPr>
        <w:rPr>
          <w:i w:val="0"/>
        </w:rPr>
      </w:pPr>
      <w:r w:rsidRPr="002732EE">
        <w:rPr>
          <w:i w:val="0"/>
        </w:rPr>
        <w:t xml:space="preserve">Unmittelbare Auswirkungen für das Vertragsverhältnis würden sich lediglich aus einer Insolvenz der Käufergesellschaft, also der Hamburg, Elbtower Immobilien GmbH &amp; Co. KG, ergeben. In diesem Falle würde ein vorläufiges Insolvenzverfahren eröffnet, welches sich an den insolvenzrechtlichen Verfahrensvorgaben ausrichtet. Die </w:t>
      </w:r>
      <w:r w:rsidR="00797277">
        <w:rPr>
          <w:i w:val="0"/>
        </w:rPr>
        <w:t>F</w:t>
      </w:r>
      <w:r w:rsidRPr="002732EE">
        <w:rPr>
          <w:i w:val="0"/>
        </w:rPr>
        <w:t>HH</w:t>
      </w:r>
      <w:r>
        <w:rPr>
          <w:i w:val="0"/>
        </w:rPr>
        <w:t xml:space="preserve"> würde</w:t>
      </w:r>
      <w:r w:rsidR="00C55B86">
        <w:rPr>
          <w:i w:val="0"/>
        </w:rPr>
        <w:t xml:space="preserve"> </w:t>
      </w:r>
      <w:r w:rsidRPr="002732EE">
        <w:rPr>
          <w:i w:val="0"/>
        </w:rPr>
        <w:t xml:space="preserve">ihre Rechte auch im Insolvenzverfahren sichern und nach Bestellung des vorläufigen Insolvenzverwalters umgehend mit diesem in Kontakt treten. Unabhängig davon steht weiterhin im Vordergrund, dass die Errichtung des Elbtowers ein privatwirtschaftliches Projekt ist und erwartet wird, dass im Rahmen </w:t>
      </w:r>
      <w:r>
        <w:rPr>
          <w:i w:val="0"/>
        </w:rPr>
        <w:t>eines</w:t>
      </w:r>
      <w:r w:rsidR="00C55B86">
        <w:rPr>
          <w:i w:val="0"/>
        </w:rPr>
        <w:t xml:space="preserve"> </w:t>
      </w:r>
      <w:r w:rsidRPr="002732EE">
        <w:rPr>
          <w:i w:val="0"/>
        </w:rPr>
        <w:t>Insolvenzverfahrens eine privatwirtschaftliche Lösung für die zeitnahe Wiederaufnahme der Bautätigkeit gefunden w</w:t>
      </w:r>
      <w:r>
        <w:rPr>
          <w:i w:val="0"/>
        </w:rPr>
        <w:t>ürde</w:t>
      </w:r>
      <w:r w:rsidRPr="002732EE">
        <w:rPr>
          <w:i w:val="0"/>
        </w:rPr>
        <w:t>. Wesentliche Veränderungen des Gesamtprojektes können nur im Einvernehmen mit der FHH erfolgen. Das stellt der Grundstückskaufvertrag sicher.</w:t>
      </w:r>
    </w:p>
    <w:p w14:paraId="3526D46F" w14:textId="3C893FF8" w:rsidR="00A13A5D" w:rsidRDefault="00A13A5D" w:rsidP="00A13A5D">
      <w:pPr>
        <w:pStyle w:val="FrageNummer1"/>
        <w:numPr>
          <w:ilvl w:val="0"/>
          <w:numId w:val="36"/>
        </w:numPr>
      </w:pPr>
      <w:r>
        <w:rPr>
          <w:vanish/>
        </w:rPr>
        <w:t xml:space="preserve">Wann </w:t>
      </w:r>
      <w:r>
        <w:t>Wurde der Senat resp. die HafenCityHamburg GmbH (HCH) mittlerweile über eine „Wirtschaftliche Verschlechterung“ nach § 10.7 des GKV informiert? Falls es bisher keine Information gab: Wie prüft der Senat, ob die fast täglich neuen Entwicklungen im SIGNA-Imperium mit verschiedenen Insolvenzverfahren auch den Elbtower und den GKV betreffen?</w:t>
      </w:r>
    </w:p>
    <w:p w14:paraId="15D67DB0" w14:textId="49FA0F65" w:rsidR="002732EE" w:rsidRPr="002732EE" w:rsidRDefault="002732EE" w:rsidP="002732EE">
      <w:pPr>
        <w:pStyle w:val="FrageNummer1"/>
        <w:numPr>
          <w:ilvl w:val="0"/>
          <w:numId w:val="0"/>
        </w:numPr>
        <w:rPr>
          <w:i w:val="0"/>
        </w:rPr>
      </w:pPr>
      <w:r w:rsidRPr="002732EE">
        <w:rPr>
          <w:i w:val="0"/>
        </w:rPr>
        <w:t>Eine Mitteilung über eine Wirtschaftliche Verschlechterung ist Stand 0</w:t>
      </w:r>
      <w:r w:rsidR="00283212">
        <w:rPr>
          <w:i w:val="0"/>
        </w:rPr>
        <w:t>7</w:t>
      </w:r>
      <w:r w:rsidRPr="002732EE">
        <w:rPr>
          <w:i w:val="0"/>
        </w:rPr>
        <w:t>.12.2023</w:t>
      </w:r>
      <w:r w:rsidR="00283212">
        <w:rPr>
          <w:i w:val="0"/>
        </w:rPr>
        <w:t xml:space="preserve"> </w:t>
      </w:r>
      <w:r w:rsidRPr="002732EE">
        <w:rPr>
          <w:i w:val="0"/>
        </w:rPr>
        <w:t>nicht erfolgt.</w:t>
      </w:r>
      <w:r w:rsidRPr="002732EE">
        <w:rPr>
          <w:i w:val="0"/>
        </w:rPr>
        <w:tab/>
      </w:r>
    </w:p>
    <w:p w14:paraId="7867DB04" w14:textId="6CFDE8A6" w:rsidR="002732EE" w:rsidRPr="002732EE" w:rsidRDefault="002732EE" w:rsidP="002732EE">
      <w:pPr>
        <w:pStyle w:val="FrageNummer1"/>
        <w:numPr>
          <w:ilvl w:val="0"/>
          <w:numId w:val="0"/>
        </w:numPr>
        <w:rPr>
          <w:i w:val="0"/>
        </w:rPr>
      </w:pPr>
      <w:r w:rsidRPr="002732EE">
        <w:rPr>
          <w:i w:val="0"/>
        </w:rPr>
        <w:t>Unabhängig von der Mitteilungspflicht der Käuferin verfolgt die HCH</w:t>
      </w:r>
      <w:r w:rsidR="00C55B86">
        <w:rPr>
          <w:i w:val="0"/>
        </w:rPr>
        <w:t xml:space="preserve"> die täglichen Entwicklungen und</w:t>
      </w:r>
      <w:r w:rsidRPr="002732EE">
        <w:rPr>
          <w:i w:val="0"/>
        </w:rPr>
        <w:t xml:space="preserve"> die amtlichen Insolvenzbekanntmachungen.</w:t>
      </w:r>
    </w:p>
    <w:p w14:paraId="2DB07B85" w14:textId="77777777" w:rsidR="00A13A5D" w:rsidRPr="009B184A" w:rsidRDefault="00A13A5D" w:rsidP="00A13A5D">
      <w:pPr>
        <w:pStyle w:val="FrageVorbemerkung"/>
        <w:numPr>
          <w:ilvl w:val="0"/>
          <w:numId w:val="37"/>
        </w:numPr>
      </w:pPr>
      <w:r>
        <w:rPr>
          <w:vanish/>
        </w:rPr>
        <w:t xml:space="preserve">19.2.5 </w:t>
      </w:r>
      <w:r w:rsidRPr="00734479">
        <w:t>Laut § 19.2.5 wäre die Stadt berechtigt, bei einem Wiederkauf in alle im Zusammenhang mit dem Bauvorhaben abgeschlossenen Verträge mit Planern, Architekten, Fachingenieuren, Projektsteuerern u.ä. sowie sämtlichen bauausführenden Unternehmen durch einseitige Erklärung gegenüber dem Auftragnehmer mit allen Rechten und Pflichten einzutreten oder die Übertragung auf einen von ihr zu benennenden Dritten zu verlangen, soweit in dem jeweils betreffenden Vertrag ein entsprechendes Eintrittsrecht enthalten ist.</w:t>
      </w:r>
      <w:r w:rsidRPr="009B184A">
        <w:rPr>
          <w:vanish/>
        </w:rPr>
        <w:t>VV</w:t>
      </w:r>
    </w:p>
    <w:p w14:paraId="667F64F2" w14:textId="310FC060" w:rsidR="00A13A5D" w:rsidRDefault="00A13A5D" w:rsidP="00FD3C7F">
      <w:pPr>
        <w:pStyle w:val="FrageNummer1"/>
        <w:numPr>
          <w:ilvl w:val="0"/>
          <w:numId w:val="36"/>
        </w:numPr>
        <w:spacing w:before="0"/>
      </w:pPr>
      <w:r>
        <w:t>Ist in all diesen Verträgen ein Eintrittsrecht enthalten? Falls nein, bitte angeben, in welchen Verträgen das nicht der Fall ist.</w:t>
      </w:r>
    </w:p>
    <w:p w14:paraId="4453E928" w14:textId="71FFD247" w:rsidR="000B33F1" w:rsidRPr="000B33F1" w:rsidRDefault="000B33F1" w:rsidP="000B33F1">
      <w:pPr>
        <w:pStyle w:val="FrageNummer1"/>
        <w:numPr>
          <w:ilvl w:val="0"/>
          <w:numId w:val="0"/>
        </w:numPr>
        <w:rPr>
          <w:i w:val="0"/>
        </w:rPr>
      </w:pPr>
      <w:r w:rsidRPr="000B33F1">
        <w:rPr>
          <w:i w:val="0"/>
        </w:rPr>
        <w:t>In allen bisher gegenüber der Verkäuferin nach § 9.4.1 (a) und (b) des Grundstückskaufvertrags nachzuweisenden Verträgen ist ein Eintrittsrecht enthalten.</w:t>
      </w:r>
    </w:p>
    <w:p w14:paraId="40508AA1" w14:textId="7E32E9F3" w:rsidR="00A13A5D" w:rsidRDefault="00A13A5D" w:rsidP="00A13A5D">
      <w:pPr>
        <w:pStyle w:val="FrageNummer1"/>
        <w:numPr>
          <w:ilvl w:val="0"/>
          <w:numId w:val="36"/>
        </w:numPr>
      </w:pPr>
      <w:r>
        <w:t>Für welchen Zeitraum sind im Falle eines länger andauernden Baustopps die Vertragspartner an diese Eintrittsklausel gebunden?</w:t>
      </w:r>
    </w:p>
    <w:p w14:paraId="0245FF4D" w14:textId="4F3D4DA6" w:rsidR="000B33F1" w:rsidRPr="000B33F1" w:rsidRDefault="000B33F1" w:rsidP="000B33F1">
      <w:pPr>
        <w:pStyle w:val="FrageNummer1"/>
        <w:numPr>
          <w:ilvl w:val="0"/>
          <w:numId w:val="0"/>
        </w:numPr>
        <w:rPr>
          <w:i w:val="0"/>
        </w:rPr>
      </w:pPr>
      <w:r w:rsidRPr="000B33F1">
        <w:rPr>
          <w:i w:val="0"/>
        </w:rPr>
        <w:t>Die Eintrittsrechte gelten, solange die jeweiligen Verträge Bestand haben. Eine zeitliche Begrenzung besteht nicht.</w:t>
      </w:r>
    </w:p>
    <w:p w14:paraId="6CE31FD9" w14:textId="7DD8BA42" w:rsidR="00A13A5D" w:rsidRDefault="00A13A5D" w:rsidP="00A13A5D">
      <w:pPr>
        <w:pStyle w:val="FrageNummer1"/>
        <w:numPr>
          <w:ilvl w:val="0"/>
          <w:numId w:val="36"/>
        </w:numPr>
      </w:pPr>
      <w:r>
        <w:t>Welche Rechte könnte bei einem Vertragseintritt der Stadt der Architekt (</w:t>
      </w:r>
      <w:r w:rsidRPr="00033237">
        <w:t xml:space="preserve">David Chipperfield Architects) geltend machen? Könnte er darauf bestehen, dass der Elbtower genau so fertiggestellt wird, wie er ihn entworfen hat? </w:t>
      </w:r>
    </w:p>
    <w:p w14:paraId="6049AE1C" w14:textId="3083EACE" w:rsidR="00A13A5D" w:rsidRPr="000B33F1" w:rsidRDefault="00A13A5D" w:rsidP="00FD3C7F">
      <w:pPr>
        <w:pStyle w:val="FrageNummer1"/>
        <w:numPr>
          <w:ilvl w:val="0"/>
          <w:numId w:val="36"/>
        </w:numPr>
        <w:spacing w:before="0"/>
        <w:rPr>
          <w:rStyle w:val="Hyperlink"/>
          <w:color w:val="auto"/>
        </w:rPr>
      </w:pPr>
      <w:r>
        <w:t>Hätte die Stadt alternativ die Möglichkeit, nicht in den Architektur-Vertrag einzutreten und den Elbtower umplanen zu lassen?</w:t>
      </w:r>
      <w:r w:rsidRPr="00805AF9">
        <w:t xml:space="preserve"> </w:t>
      </w:r>
      <w:r>
        <w:t xml:space="preserve">Falls ja, welche (Schadensersatz)Ansprüche kann der Architekt dann geltend machen? </w:t>
      </w:r>
      <w:hyperlink r:id="rId12" w:history="1">
        <w:r>
          <w:rPr>
            <w:rStyle w:val="Hyperlink"/>
          </w:rPr>
          <w:t xml:space="preserve"> </w:t>
        </w:r>
        <w:r w:rsidRPr="00805AF9">
          <w:rPr>
            <w:rStyle w:val="Hyperlink"/>
          </w:rPr>
          <w:t xml:space="preserve"> </w:t>
        </w:r>
      </w:hyperlink>
    </w:p>
    <w:p w14:paraId="4FD3A04D" w14:textId="4CB86312" w:rsidR="000B33F1" w:rsidRPr="000B33F1" w:rsidRDefault="000B33F1" w:rsidP="000B33F1">
      <w:pPr>
        <w:pStyle w:val="FrageNummer1"/>
        <w:numPr>
          <w:ilvl w:val="0"/>
          <w:numId w:val="0"/>
        </w:numPr>
        <w:rPr>
          <w:i w:val="0"/>
        </w:rPr>
      </w:pPr>
      <w:r w:rsidRPr="000B33F1">
        <w:rPr>
          <w:i w:val="0"/>
        </w:rPr>
        <w:t>Der Senat geht von einer Fertigstellung des Bauvorhabens in der geplanten Form aus</w:t>
      </w:r>
      <w:r w:rsidR="00C55B86">
        <w:rPr>
          <w:i w:val="0"/>
        </w:rPr>
        <w:t xml:space="preserve"> und beantwortet hypothetische Fragen grundsätzlich nicht</w:t>
      </w:r>
      <w:r w:rsidR="000F1718">
        <w:rPr>
          <w:i w:val="0"/>
        </w:rPr>
        <w:t xml:space="preserve">. </w:t>
      </w:r>
      <w:r w:rsidRPr="000B33F1">
        <w:rPr>
          <w:i w:val="0"/>
        </w:rPr>
        <w:t>Der Architektenvertrag ist dem Senat – mit Ausnahme einzelner Klauseln – zudem nicht bekannt.</w:t>
      </w:r>
    </w:p>
    <w:p w14:paraId="05A93FC4" w14:textId="77777777" w:rsidR="00A13A5D" w:rsidRDefault="00A13A5D" w:rsidP="00FD3C7F">
      <w:pPr>
        <w:pStyle w:val="FrageEinleitungberschrift"/>
      </w:pPr>
      <w:r>
        <w:t>Fristen – welche stehen bzw. standen im Grundstückskaufvertrag?</w:t>
      </w:r>
    </w:p>
    <w:p w14:paraId="490002A4" w14:textId="77777777" w:rsidR="00A13A5D" w:rsidRDefault="00A13A5D" w:rsidP="00A13A5D">
      <w:pPr>
        <w:pStyle w:val="FrageVorbemerkung"/>
        <w:numPr>
          <w:ilvl w:val="0"/>
          <w:numId w:val="37"/>
        </w:numPr>
      </w:pPr>
      <w:r>
        <w:t xml:space="preserve">Der Senat antwortete auf meine Schriftliche Kleine Anfrage Drs. 22/13364, dass der Rohbau nach § 9.2.1 (e) des GKV 52 Monate nach Beginn des Bauvorhabens und nach Erhalt der vollzugsfähigen Baugenehmigung fertigzustellen sei. Gleichzeitig sagt der Senat, dass die Übergabe im Januar 2023 erfolgte, der Rohbau somit im April 2027 fertigzustellen sei. Von der Übergabe ist in dem genannten Paragrafen übrigens gar keine Rede. In dem GKV soll in § 9.2.1 (e) als Frist 36 Monate stehen. Ausgehend vom Januar 2023 wäre das dann Januar 2026. Ganz andere Fristen wiederum nennt die HCH laut Hamburger Abendblatt vom 29.11.23: der Rohbau sei im Februar 2029 fertigzustellen sei, das Bauvorhaben im Januar 2031. </w:t>
      </w:r>
    </w:p>
    <w:p w14:paraId="1B1B317B" w14:textId="77777777" w:rsidR="00723298" w:rsidRDefault="00A13A5D" w:rsidP="00FD3C7F">
      <w:pPr>
        <w:pStyle w:val="FrageNummer1"/>
        <w:numPr>
          <w:ilvl w:val="0"/>
          <w:numId w:val="36"/>
        </w:numPr>
        <w:spacing w:before="0"/>
      </w:pPr>
      <w:bookmarkStart w:id="1" w:name="_Hlk152761458"/>
      <w:r>
        <w:t>Zu welchem Datum war die Baugenehmigung vollzugsfähig?</w:t>
      </w:r>
    </w:p>
    <w:p w14:paraId="72E6FCF5" w14:textId="77777777" w:rsidR="00723298" w:rsidRDefault="00A13A5D" w:rsidP="00FD3C7F">
      <w:pPr>
        <w:pStyle w:val="FrageNummer1"/>
        <w:numPr>
          <w:ilvl w:val="0"/>
          <w:numId w:val="36"/>
        </w:numPr>
        <w:spacing w:before="0"/>
      </w:pPr>
      <w:r>
        <w:t>Wann war der Baubeginn?</w:t>
      </w:r>
    </w:p>
    <w:p w14:paraId="1C192B14" w14:textId="6E348CD5" w:rsidR="00A13A5D" w:rsidRDefault="00A13A5D" w:rsidP="00FD3C7F">
      <w:pPr>
        <w:pStyle w:val="FrageNummer1"/>
        <w:numPr>
          <w:ilvl w:val="0"/>
          <w:numId w:val="36"/>
        </w:numPr>
        <w:spacing w:before="0"/>
      </w:pPr>
      <w:r>
        <w:t xml:space="preserve">Welche Rolle spielten die vorbereitenden Baumaßnahmen? Bitte auch angeben und begründen, weshalb sie ggfs. nicht bereits als Baubeginn gewertet wurden und weshalb sich dadurch Fristen zur Fertigstellung des Rohbaus und des Bauvorhabens nicht verkürzen. </w:t>
      </w:r>
    </w:p>
    <w:p w14:paraId="77DAFB60" w14:textId="192D63C5" w:rsidR="00C75853" w:rsidRDefault="00C75853" w:rsidP="001907EB">
      <w:pPr>
        <w:pStyle w:val="FrageNummer1"/>
        <w:numPr>
          <w:ilvl w:val="0"/>
          <w:numId w:val="0"/>
        </w:numPr>
        <w:rPr>
          <w:i w:val="0"/>
        </w:rPr>
      </w:pPr>
      <w:r w:rsidRPr="00C75853">
        <w:rPr>
          <w:i w:val="0"/>
        </w:rPr>
        <w:t>Die in der Frage angesprochene Fristberechnung ist im G</w:t>
      </w:r>
      <w:r w:rsidR="00D81EED">
        <w:rPr>
          <w:i w:val="0"/>
        </w:rPr>
        <w:t>rundstückskaufvertrag</w:t>
      </w:r>
      <w:r w:rsidRPr="00C75853">
        <w:rPr>
          <w:i w:val="0"/>
        </w:rPr>
        <w:t xml:space="preserve"> sowie im dazu geschlossenen Nachtrag 1 geregelt. Die Regelung des § 9.2.1 (e) aus dem Nachtrag 1 knüpft kumulativ an den Beginn des Bauvorhabens und das Vorliegen der vollzugsfähigen Baugenehmigung an. Die Baugenehmigung wurde am 8. März 2022 erteilt. Der Zeitpunkt des Beginns des Bauvorhabens ist vertraglich in § 9.3.4 des G</w:t>
      </w:r>
      <w:r w:rsidR="00D81EED">
        <w:rPr>
          <w:i w:val="0"/>
        </w:rPr>
        <w:t>rundstückkaufvertrags</w:t>
      </w:r>
      <w:r w:rsidRPr="00C75853">
        <w:rPr>
          <w:i w:val="0"/>
        </w:rPr>
        <w:t xml:space="preserve"> definiert und knüpft vertraglich an die Baumaßnahmen seitens der Käuferin an. Vorbereitende Maßnahmen vor Übergabe des Grundstücks stellen noch keinen Baubeginn in diesem Sinne dar, siehe auch § 9.3.4 des Grundstückskaufvertrags (in der Fassung des 1. Nachtrags vom 24. September 2020).</w:t>
      </w:r>
      <w:r>
        <w:rPr>
          <w:i w:val="0"/>
        </w:rPr>
        <w:t xml:space="preserve"> </w:t>
      </w:r>
      <w:r w:rsidRPr="00C75853">
        <w:rPr>
          <w:i w:val="0"/>
        </w:rPr>
        <w:t>Baubeginn gemäß dem G</w:t>
      </w:r>
      <w:r w:rsidR="00D81EED">
        <w:rPr>
          <w:i w:val="0"/>
        </w:rPr>
        <w:t>rundstückkaufvertrag</w:t>
      </w:r>
      <w:r w:rsidRPr="00C75853">
        <w:rPr>
          <w:i w:val="0"/>
        </w:rPr>
        <w:t xml:space="preserve"> folgt dem Datum der Grundstücksübergabe, also dem 10. Januar 2023.</w:t>
      </w:r>
    </w:p>
    <w:bookmarkEnd w:id="1"/>
    <w:p w14:paraId="0C966E98" w14:textId="77777777" w:rsidR="00A13A5D" w:rsidRDefault="00A13A5D" w:rsidP="00A13A5D">
      <w:pPr>
        <w:pStyle w:val="FrageNummer1"/>
        <w:numPr>
          <w:ilvl w:val="0"/>
          <w:numId w:val="36"/>
        </w:numPr>
      </w:pPr>
      <w:r>
        <w:t xml:space="preserve">Gab es durch Nachträge des GKV Änderungen bei den Fristen unter § 9.2.1 (e)? Falls ja, bitte angeben, wann und aus welchen Gründen die Fristen verändert wurden. </w:t>
      </w:r>
    </w:p>
    <w:p w14:paraId="021D65E9" w14:textId="4EEB9192" w:rsidR="00A13A5D" w:rsidRDefault="00A13A5D" w:rsidP="00A13A5D">
      <w:pPr>
        <w:pStyle w:val="FrageNummer1"/>
        <w:numPr>
          <w:ilvl w:val="0"/>
          <w:numId w:val="36"/>
        </w:numPr>
      </w:pPr>
      <w:r>
        <w:t>Welche Frist stand in dem GKV und in den jeweiligen Nachträgen?</w:t>
      </w:r>
    </w:p>
    <w:p w14:paraId="1AC6BA50" w14:textId="2E922398" w:rsidR="00D367A0" w:rsidRDefault="00D367A0" w:rsidP="00583BA2">
      <w:pPr>
        <w:pStyle w:val="FrageNummer1"/>
        <w:numPr>
          <w:ilvl w:val="0"/>
          <w:numId w:val="0"/>
        </w:numPr>
        <w:rPr>
          <w:i w:val="0"/>
        </w:rPr>
      </w:pPr>
      <w:r w:rsidRPr="00583BA2">
        <w:rPr>
          <w:i w:val="0"/>
        </w:rPr>
        <w:t>Bei nach Abschluss des G</w:t>
      </w:r>
      <w:r w:rsidR="00D81EED">
        <w:rPr>
          <w:i w:val="0"/>
        </w:rPr>
        <w:t xml:space="preserve">rundstückskaufvertrags </w:t>
      </w:r>
      <w:r w:rsidRPr="00583BA2">
        <w:rPr>
          <w:i w:val="0"/>
        </w:rPr>
        <w:t>durchgeführten Bodenuntersuchungen hat sich herausgestellt, dass die für die Gründung notwendigen Großbohrpfähle im Bereich des Hochhauses deutlich länger als ursprünglich geplant sein mussten. Dadurch gestalteten sich die Vorlaufs- und Gründungsarbeiten zeitlich aufwändiger als zum Abschluss des Grundstückskaufvertrages geplant. Des</w:t>
      </w:r>
      <w:r w:rsidR="008706C6">
        <w:rPr>
          <w:i w:val="0"/>
        </w:rPr>
        <w:t>weiteren</w:t>
      </w:r>
      <w:r w:rsidRPr="00583BA2">
        <w:rPr>
          <w:i w:val="0"/>
        </w:rPr>
        <w:t xml:space="preserve"> wurde durch die längere Vorlaufs- und Gründungsphase die Setzungsdifferenz</w:t>
      </w:r>
      <w:r w:rsidR="00CF7BFB">
        <w:rPr>
          <w:i w:val="0"/>
        </w:rPr>
        <w:t>en</w:t>
      </w:r>
      <w:r w:rsidRPr="00583BA2">
        <w:rPr>
          <w:i w:val="0"/>
        </w:rPr>
        <w:t xml:space="preserve"> innerhalb des Bauvorhabens durch eine entsprechende Gründungskonzeption gemindert. </w:t>
      </w:r>
      <w:r w:rsidR="00CF7BFB">
        <w:rPr>
          <w:i w:val="0"/>
        </w:rPr>
        <w:t xml:space="preserve">Damit </w:t>
      </w:r>
      <w:r w:rsidRPr="00583BA2">
        <w:rPr>
          <w:i w:val="0"/>
        </w:rPr>
        <w:t>wurde eine größere zeitliche und konstruktive Realisierungssicherheit erreicht (siehe auch inhaltlich übereinstimmende Begründung in Ziffer 3.5 des 1. Nachtrags vom 24. September 2020).</w:t>
      </w:r>
    </w:p>
    <w:p w14:paraId="286F1A49" w14:textId="448B224E" w:rsidR="00583BA2" w:rsidRPr="00283212" w:rsidRDefault="00583BA2" w:rsidP="00E63737">
      <w:pPr>
        <w:pStyle w:val="FrageNummer1"/>
        <w:numPr>
          <w:ilvl w:val="0"/>
          <w:numId w:val="0"/>
        </w:numPr>
        <w:rPr>
          <w:i w:val="0"/>
        </w:rPr>
      </w:pPr>
      <w:r w:rsidRPr="00283212">
        <w:rPr>
          <w:i w:val="0"/>
        </w:rPr>
        <w:t>Die Frist zur Fertigstellung des Rohbaus (§ 9.2.1 (e) des Grundstückskaufvertrags) wurde mit dem 1.</w:t>
      </w:r>
      <w:r w:rsidR="00FD3C7F">
        <w:rPr>
          <w:i w:val="0"/>
        </w:rPr>
        <w:t> </w:t>
      </w:r>
      <w:r w:rsidRPr="00283212">
        <w:rPr>
          <w:i w:val="0"/>
        </w:rPr>
        <w:t>Nachtrag vom 24. September 2020 um 16 Monate von 36 auf 52 Monate verlängert.</w:t>
      </w:r>
      <w:r w:rsidR="007C368E" w:rsidRPr="00283212" w:rsidDel="007C368E">
        <w:rPr>
          <w:i w:val="0"/>
        </w:rPr>
        <w:t xml:space="preserve"> </w:t>
      </w:r>
    </w:p>
    <w:p w14:paraId="5B243C2D" w14:textId="77777777" w:rsidR="00583BA2" w:rsidRDefault="00A13A5D" w:rsidP="00E63737">
      <w:pPr>
        <w:pStyle w:val="FrageNummer1"/>
        <w:numPr>
          <w:ilvl w:val="0"/>
          <w:numId w:val="36"/>
        </w:numPr>
      </w:pPr>
      <w:r w:rsidRPr="00283212">
        <w:t>Worauf bezog sich der Senat, als er in der o.g. Antwort 52 Monate nannte</w:t>
      </w:r>
      <w:r>
        <w:t>?</w:t>
      </w:r>
    </w:p>
    <w:p w14:paraId="3CDB40F6" w14:textId="13B41A36" w:rsidR="00A13A5D" w:rsidRPr="00583BA2" w:rsidRDefault="00583BA2" w:rsidP="00583BA2">
      <w:pPr>
        <w:pStyle w:val="FrageNummer1"/>
        <w:numPr>
          <w:ilvl w:val="0"/>
          <w:numId w:val="0"/>
        </w:numPr>
        <w:rPr>
          <w:i w:val="0"/>
        </w:rPr>
      </w:pPr>
      <w:r w:rsidRPr="00583BA2">
        <w:rPr>
          <w:i w:val="0"/>
        </w:rPr>
        <w:t>Die Antwort bezog sich auf die Frist nach § 9.2.1 (e) des Grundstückskaufvertrags in der gültigen Fassung.</w:t>
      </w:r>
    </w:p>
    <w:p w14:paraId="4257E261" w14:textId="77777777" w:rsidR="00A13A5D" w:rsidRPr="00D81EED" w:rsidRDefault="00A13A5D" w:rsidP="00FD3C7F">
      <w:pPr>
        <w:pStyle w:val="FrageZwischenberschrift"/>
        <w:rPr>
          <w:i/>
        </w:rPr>
      </w:pPr>
      <w:r w:rsidRPr="00D81EED">
        <w:rPr>
          <w:i/>
        </w:rPr>
        <w:t>Wiederkaufsrecht der Verkäuferin § 19 GKV</w:t>
      </w:r>
    </w:p>
    <w:p w14:paraId="409478E2" w14:textId="77777777" w:rsidR="00A13A5D" w:rsidRDefault="00A13A5D" w:rsidP="00A13A5D">
      <w:pPr>
        <w:pStyle w:val="FrageVorbemerkung"/>
        <w:numPr>
          <w:ilvl w:val="0"/>
          <w:numId w:val="37"/>
        </w:numPr>
      </w:pPr>
      <w:r>
        <w:t>Der Senat schreibt in seiner Antwort auf meine Schriftliche Kleine Anfrage Drs. 22/13451, dass die Stadt das Wiederkaufsrecht geltend machen kann, wenn der Rohbau nicht spätestens innerhalb von 73 Monaten nach Übergabe des Kaufgrundstücks (also bis Januar 2029) fertiggestellt ist. Das soll im § 19.1.1 (e) stehen. Den Buchstaben (e) gibt es dort allerdings nicht. Beim Buchstaben (d) hingegen findet sich eine passende Regelung, die allerdings teilweise geschwärzt ist. Mir wurde zugetragen, dass i</w:t>
      </w:r>
      <w:r w:rsidRPr="00C12C18">
        <w:t>n dem GKV im § 19.1.1 (d) eine Frist von 80 Monaten, also sechs Jahre und 8 Monate, steh</w:t>
      </w:r>
      <w:r>
        <w:t>t</w:t>
      </w:r>
      <w:r w:rsidRPr="00C12C18">
        <w:t>. Ausgehend vom Januar 2023 wäre das Enddatum dann Oktober 2029</w:t>
      </w:r>
      <w:r>
        <w:t>.</w:t>
      </w:r>
    </w:p>
    <w:p w14:paraId="1AEE412F" w14:textId="7F5E3CF1" w:rsidR="00A13A5D" w:rsidRDefault="00A13A5D" w:rsidP="00FD3C7F">
      <w:pPr>
        <w:pStyle w:val="FrageNummer1"/>
        <w:numPr>
          <w:ilvl w:val="0"/>
          <w:numId w:val="36"/>
        </w:numPr>
        <w:spacing w:before="0"/>
      </w:pPr>
      <w:r>
        <w:t xml:space="preserve">Handelt es sich bei der Angabe § 19.1.1 (e) um einen Schreibfehler? Falls nicht, wann wurde der Buchstabe (e) mit welchen Regelungen in den GKV aufgenommen? </w:t>
      </w:r>
    </w:p>
    <w:p w14:paraId="5D54D3A6" w14:textId="2BA02C90" w:rsidR="00583BA2" w:rsidRPr="00583BA2" w:rsidRDefault="00583BA2" w:rsidP="00583BA2">
      <w:pPr>
        <w:pStyle w:val="FrageNummer1"/>
        <w:numPr>
          <w:ilvl w:val="0"/>
          <w:numId w:val="0"/>
        </w:numPr>
        <w:rPr>
          <w:i w:val="0"/>
        </w:rPr>
      </w:pPr>
      <w:r w:rsidRPr="00583BA2">
        <w:rPr>
          <w:i w:val="0"/>
        </w:rPr>
        <w:t xml:space="preserve">Gemeint war § 19.1.1 (c) des </w:t>
      </w:r>
      <w:r w:rsidRPr="00283212">
        <w:rPr>
          <w:i w:val="0"/>
        </w:rPr>
        <w:t>Grundstückskaufvertrags, der die Frist für den Wiederkauf bei verzögerter Fertigstellung des Rohbaus enthält (73 Monate). In § 19.1.1 (d) des Grundstückskaufvertrags ist die Frist für den Wiederkauf bei verzögerter Fertigstellung des Bauvorhabens enthalten (96 Monate).</w:t>
      </w:r>
    </w:p>
    <w:p w14:paraId="41475BB3" w14:textId="77777777" w:rsidR="00A13A5D" w:rsidRDefault="00A13A5D" w:rsidP="00A13A5D">
      <w:pPr>
        <w:pStyle w:val="FrageNummer1"/>
        <w:numPr>
          <w:ilvl w:val="0"/>
          <w:numId w:val="36"/>
        </w:numPr>
      </w:pPr>
      <w:r>
        <w:t xml:space="preserve">Gab es durch Nachträge des GKV Änderungen bei den Fristen unter § 19.1.1 (d)? Falls ja, bitte angeben, wann und aus welchen Gründen die Fristen verändert wurden. </w:t>
      </w:r>
    </w:p>
    <w:p w14:paraId="6995C1A2" w14:textId="77777777" w:rsidR="00A13A5D" w:rsidRDefault="00A13A5D" w:rsidP="00FD3C7F">
      <w:pPr>
        <w:pStyle w:val="FrageNummer1"/>
        <w:numPr>
          <w:ilvl w:val="0"/>
          <w:numId w:val="36"/>
        </w:numPr>
        <w:spacing w:before="0"/>
      </w:pPr>
      <w:r>
        <w:t>Welche Frist stand in dem GKV und in den jeweiligen Nachträgen?</w:t>
      </w:r>
    </w:p>
    <w:p w14:paraId="691E99CC" w14:textId="78434074" w:rsidR="00D81EED" w:rsidRDefault="00583BA2" w:rsidP="00D81EED">
      <w:pPr>
        <w:pStyle w:val="FrageNummer1"/>
        <w:numPr>
          <w:ilvl w:val="0"/>
          <w:numId w:val="0"/>
        </w:numPr>
        <w:spacing w:before="120"/>
        <w:rPr>
          <w:i w:val="0"/>
        </w:rPr>
      </w:pPr>
      <w:r w:rsidRPr="00583BA2">
        <w:rPr>
          <w:i w:val="0"/>
        </w:rPr>
        <w:t xml:space="preserve">Der Verlängerung der Fertigstellungsfristen folgend, wurden die Fristen zum Wiederkauf bei verzögerter Fertigstellung von </w:t>
      </w:r>
      <w:r w:rsidRPr="00283212">
        <w:rPr>
          <w:i w:val="0"/>
        </w:rPr>
        <w:t>Rohbau und Bauvorhaben mit dem 1. Nachtrag zum Grundstückskaufvertrag vom 24.</w:t>
      </w:r>
      <w:r w:rsidR="00FD3C7F">
        <w:rPr>
          <w:i w:val="0"/>
        </w:rPr>
        <w:t> </w:t>
      </w:r>
      <w:r w:rsidRPr="00283212">
        <w:rPr>
          <w:i w:val="0"/>
        </w:rPr>
        <w:t>September 2020 ebenfalls um 16 Monate angepasst</w:t>
      </w:r>
      <w:r w:rsidR="009734FF">
        <w:rPr>
          <w:i w:val="0"/>
        </w:rPr>
        <w:t>,</w:t>
      </w:r>
      <w:r w:rsidRPr="00283212">
        <w:rPr>
          <w:i w:val="0"/>
        </w:rPr>
        <w:t xml:space="preserve"> siehe </w:t>
      </w:r>
      <w:r w:rsidR="00D25391">
        <w:rPr>
          <w:i w:val="0"/>
        </w:rPr>
        <w:t>Vorbemerkung</w:t>
      </w:r>
      <w:r w:rsidRPr="00583BA2">
        <w:rPr>
          <w:i w:val="0"/>
        </w:rPr>
        <w:t>.</w:t>
      </w:r>
    </w:p>
    <w:p w14:paraId="3A7F8796" w14:textId="77777777" w:rsidR="00FD4167" w:rsidRDefault="00A13A5D" w:rsidP="00FD4167">
      <w:pPr>
        <w:pStyle w:val="FrageNummer1"/>
        <w:numPr>
          <w:ilvl w:val="0"/>
          <w:numId w:val="36"/>
        </w:numPr>
      </w:pPr>
      <w:r>
        <w:t xml:space="preserve">Worauf bezog sich der Senat, als er in der o.g. Antwort 73 Monate nannte? </w:t>
      </w:r>
    </w:p>
    <w:p w14:paraId="681536DD" w14:textId="40BE8C71" w:rsidR="00583BA2" w:rsidRPr="00583BA2" w:rsidRDefault="00583BA2" w:rsidP="00D81EED">
      <w:pPr>
        <w:pStyle w:val="FrageNummer1"/>
        <w:numPr>
          <w:ilvl w:val="0"/>
          <w:numId w:val="0"/>
        </w:numPr>
        <w:spacing w:before="120"/>
        <w:rPr>
          <w:i w:val="0"/>
        </w:rPr>
      </w:pPr>
      <w:r w:rsidRPr="00583BA2">
        <w:rPr>
          <w:i w:val="0"/>
        </w:rPr>
        <w:t>Die Antwort des Senats bezog sich auf den aktuellen Vertragsstand.</w:t>
      </w:r>
    </w:p>
    <w:sectPr w:rsidR="00583BA2" w:rsidRPr="00583BA2" w:rsidSect="00BC1450">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F9507" w14:textId="77777777" w:rsidR="00F072A3" w:rsidRDefault="00F072A3" w:rsidP="00BC1450">
      <w:r>
        <w:separator/>
      </w:r>
    </w:p>
  </w:endnote>
  <w:endnote w:type="continuationSeparator" w:id="0">
    <w:p w14:paraId="599030AC" w14:textId="77777777" w:rsidR="00F072A3" w:rsidRDefault="00F072A3" w:rsidP="00BC1450">
      <w:r>
        <w:continuationSeparator/>
      </w:r>
    </w:p>
  </w:endnote>
  <w:endnote w:type="continuationNotice" w:id="1">
    <w:p w14:paraId="4A9265CC" w14:textId="77777777" w:rsidR="00F072A3" w:rsidRDefault="00F072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F863A" w14:textId="63D7A309" w:rsidR="00164B2F" w:rsidRPr="00164B2F" w:rsidRDefault="00164B2F">
    <w:pPr>
      <w:pStyle w:val="Fuzeile"/>
      <w:rPr>
        <w:rFonts w:cs="Arial"/>
      </w:rPr>
    </w:pPr>
    <w:r>
      <w:rPr>
        <w:rFonts w:cs="Arial"/>
      </w:rPr>
      <w:t>22-13696</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3</w:t>
    </w:r>
    <w:r>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33173" w14:textId="4F8D1B3C" w:rsidR="00D17713" w:rsidRPr="00164B2F" w:rsidRDefault="00164B2F">
    <w:pPr>
      <w:pStyle w:val="Fuzeile"/>
      <w:rPr>
        <w:rFonts w:cs="Arial"/>
      </w:rPr>
    </w:pPr>
    <w:r>
      <w:rPr>
        <w:rFonts w:cs="Arial"/>
      </w:rPr>
      <w:t>22-13696</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3</w:t>
    </w:r>
    <w:r>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BB99" w14:textId="6DC97D2E" w:rsidR="00164B2F" w:rsidRPr="00164B2F" w:rsidRDefault="00164B2F">
    <w:pPr>
      <w:pStyle w:val="Fuzeile"/>
      <w:rPr>
        <w:rFonts w:cs="Arial"/>
      </w:rPr>
    </w:pPr>
    <w:r>
      <w:rPr>
        <w:rFonts w:cs="Arial"/>
      </w:rPr>
      <w:t>22-13696</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3</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9640D" w14:textId="77777777" w:rsidR="00F072A3" w:rsidRDefault="00F072A3" w:rsidP="00BC1450">
      <w:r>
        <w:separator/>
      </w:r>
    </w:p>
  </w:footnote>
  <w:footnote w:type="continuationSeparator" w:id="0">
    <w:p w14:paraId="67FF1FD9" w14:textId="77777777" w:rsidR="00F072A3" w:rsidRDefault="00F072A3" w:rsidP="00BC1450">
      <w:r>
        <w:continuationSeparator/>
      </w:r>
    </w:p>
  </w:footnote>
  <w:footnote w:type="continuationNotice" w:id="1">
    <w:p w14:paraId="5B7FB5DC" w14:textId="77777777" w:rsidR="00F072A3" w:rsidRDefault="00F072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61B98" w14:textId="77777777" w:rsidR="00164B2F" w:rsidRDefault="00164B2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2A2F4" w14:textId="77777777" w:rsidR="00D17713" w:rsidRDefault="00D177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E6A3E" w14:textId="77777777" w:rsidR="00164B2F" w:rsidRDefault="00164B2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25C594A"/>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01B24556"/>
    <w:multiLevelType w:val="multilevel"/>
    <w:tmpl w:val="8EB073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1C4C4FB7"/>
    <w:multiLevelType w:val="multilevel"/>
    <w:tmpl w:val="A4EEAD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4024FB"/>
    <w:multiLevelType w:val="multilevel"/>
    <w:tmpl w:val="B61CDE5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3B8B7C59"/>
    <w:multiLevelType w:val="multilevel"/>
    <w:tmpl w:val="AAC8677A"/>
    <w:lvl w:ilvl="0">
      <w:start w:val="1"/>
      <w:numFmt w:val="none"/>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5" w15:restartNumberingAfterBreak="0">
    <w:nsid w:val="4E956AC2"/>
    <w:multiLevelType w:val="multilevel"/>
    <w:tmpl w:val="F41A2534"/>
    <w:lvl w:ilvl="0">
      <w:start w:val="1"/>
      <w:numFmt w:val="bullet"/>
      <w:lvlText w:val="-"/>
      <w:lvlJc w:val="left"/>
      <w:pPr>
        <w:ind w:left="284" w:hanging="284"/>
      </w:pPr>
      <w:rPr>
        <w:rFonts w:ascii="Arial" w:hAnsi="Arial" w:hint="default"/>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3D31F7E"/>
    <w:multiLevelType w:val="hybridMultilevel"/>
    <w:tmpl w:val="BC28C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A117F22"/>
    <w:multiLevelType w:val="hybridMultilevel"/>
    <w:tmpl w:val="57E084F8"/>
    <w:lvl w:ilvl="0" w:tplc="C5D4068A">
      <w:start w:val="1"/>
      <w:numFmt w:val="lowerLetter"/>
      <w:lvlText w:val="(%1)"/>
      <w:lvlJc w:val="left"/>
      <w:pPr>
        <w:ind w:left="1948" w:hanging="360"/>
      </w:pPr>
      <w:rPr>
        <w:rFonts w:hint="default"/>
      </w:rPr>
    </w:lvl>
    <w:lvl w:ilvl="1" w:tplc="04070019" w:tentative="1">
      <w:start w:val="1"/>
      <w:numFmt w:val="lowerLetter"/>
      <w:lvlText w:val="%2."/>
      <w:lvlJc w:val="left"/>
      <w:pPr>
        <w:ind w:left="2668" w:hanging="360"/>
      </w:pPr>
    </w:lvl>
    <w:lvl w:ilvl="2" w:tplc="0407001B" w:tentative="1">
      <w:start w:val="1"/>
      <w:numFmt w:val="lowerRoman"/>
      <w:lvlText w:val="%3."/>
      <w:lvlJc w:val="right"/>
      <w:pPr>
        <w:ind w:left="3388" w:hanging="180"/>
      </w:pPr>
    </w:lvl>
    <w:lvl w:ilvl="3" w:tplc="0407000F" w:tentative="1">
      <w:start w:val="1"/>
      <w:numFmt w:val="decimal"/>
      <w:lvlText w:val="%4."/>
      <w:lvlJc w:val="left"/>
      <w:pPr>
        <w:ind w:left="4108" w:hanging="360"/>
      </w:pPr>
    </w:lvl>
    <w:lvl w:ilvl="4" w:tplc="04070019" w:tentative="1">
      <w:start w:val="1"/>
      <w:numFmt w:val="lowerLetter"/>
      <w:lvlText w:val="%5."/>
      <w:lvlJc w:val="left"/>
      <w:pPr>
        <w:ind w:left="4828" w:hanging="360"/>
      </w:pPr>
    </w:lvl>
    <w:lvl w:ilvl="5" w:tplc="0407001B" w:tentative="1">
      <w:start w:val="1"/>
      <w:numFmt w:val="lowerRoman"/>
      <w:lvlText w:val="%6."/>
      <w:lvlJc w:val="right"/>
      <w:pPr>
        <w:ind w:left="5548" w:hanging="180"/>
      </w:pPr>
    </w:lvl>
    <w:lvl w:ilvl="6" w:tplc="0407000F" w:tentative="1">
      <w:start w:val="1"/>
      <w:numFmt w:val="decimal"/>
      <w:lvlText w:val="%7."/>
      <w:lvlJc w:val="left"/>
      <w:pPr>
        <w:ind w:left="6268" w:hanging="360"/>
      </w:pPr>
    </w:lvl>
    <w:lvl w:ilvl="7" w:tplc="04070019" w:tentative="1">
      <w:start w:val="1"/>
      <w:numFmt w:val="lowerLetter"/>
      <w:lvlText w:val="%8."/>
      <w:lvlJc w:val="left"/>
      <w:pPr>
        <w:ind w:left="6988" w:hanging="360"/>
      </w:pPr>
    </w:lvl>
    <w:lvl w:ilvl="8" w:tplc="0407001B" w:tentative="1">
      <w:start w:val="1"/>
      <w:numFmt w:val="lowerRoman"/>
      <w:lvlText w:val="%9."/>
      <w:lvlJc w:val="right"/>
      <w:pPr>
        <w:ind w:left="7708" w:hanging="180"/>
      </w:pPr>
    </w:lvl>
  </w:abstractNum>
  <w:abstractNum w:abstractNumId="8" w15:restartNumberingAfterBreak="0">
    <w:nsid w:val="5A2F18CE"/>
    <w:multiLevelType w:val="hybridMultilevel"/>
    <w:tmpl w:val="9D9E3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DE9779F"/>
    <w:multiLevelType w:val="multilevel"/>
    <w:tmpl w:val="7AC669F0"/>
    <w:lvl w:ilvl="0">
      <w:start w:val="1"/>
      <w:numFmt w:val="none"/>
      <w:pStyle w:val="berschrift1"/>
      <w:lvlText w:val=""/>
      <w:lvlJc w:val="left"/>
      <w:pPr>
        <w:ind w:left="0" w:firstLine="0"/>
      </w:pPr>
      <w:rPr>
        <w:rFonts w:hint="default"/>
      </w:rPr>
    </w:lvl>
    <w:lvl w:ilvl="1">
      <w:start w:val="1"/>
      <w:numFmt w:val="none"/>
      <w:pStyle w:val="berschrift2"/>
      <w:lvlText w:val=""/>
      <w:lvlJc w:val="left"/>
      <w:pPr>
        <w:tabs>
          <w:tab w:val="num" w:pos="794"/>
        </w:tabs>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5E0071EF"/>
    <w:multiLevelType w:val="multilevel"/>
    <w:tmpl w:val="608AF120"/>
    <w:styleLink w:val="zzzListeFrage"/>
    <w:lvl w:ilvl="0">
      <w:start w:val="1"/>
      <w:numFmt w:val="decimal"/>
      <w:pStyle w:val="FrageNummer1"/>
      <w:lvlText w:val="Frage %1:"/>
      <w:lvlJc w:val="left"/>
      <w:pPr>
        <w:ind w:left="2865"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1" w15:restartNumberingAfterBreak="0">
    <w:nsid w:val="5E261221"/>
    <w:multiLevelType w:val="multilevel"/>
    <w:tmpl w:val="6480F198"/>
    <w:lvl w:ilvl="0">
      <w:start w:val="1"/>
      <w:numFmt w:val="decimal"/>
      <w:lvlText w:val="Frage %1:"/>
      <w:lvlJc w:val="left"/>
      <w:pPr>
        <w:ind w:left="1588" w:hanging="1588"/>
      </w:pPr>
      <w:rPr>
        <w:rFonts w:ascii="Arial" w:hAnsi="Arial" w:hint="default"/>
        <w:b/>
        <w:i/>
        <w:sz w:val="20"/>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2" w15:restartNumberingAfterBreak="0">
    <w:nsid w:val="644D25B7"/>
    <w:multiLevelType w:val="hybridMultilevel"/>
    <w:tmpl w:val="134455F0"/>
    <w:lvl w:ilvl="0" w:tplc="76DA2E0C">
      <w:start w:val="1"/>
      <w:numFmt w:val="lowerLetter"/>
      <w:pStyle w:val="FrageFortsetzungListe"/>
      <w:lvlText w:val="%1)"/>
      <w:lvlJc w:val="left"/>
      <w:pPr>
        <w:ind w:left="2308" w:hanging="360"/>
      </w:pPr>
    </w:lvl>
    <w:lvl w:ilvl="1" w:tplc="04070019" w:tentative="1">
      <w:start w:val="1"/>
      <w:numFmt w:val="lowerLetter"/>
      <w:lvlText w:val="%2."/>
      <w:lvlJc w:val="left"/>
      <w:pPr>
        <w:ind w:left="3028" w:hanging="360"/>
      </w:pPr>
    </w:lvl>
    <w:lvl w:ilvl="2" w:tplc="0407001B" w:tentative="1">
      <w:start w:val="1"/>
      <w:numFmt w:val="lowerRoman"/>
      <w:lvlText w:val="%3."/>
      <w:lvlJc w:val="right"/>
      <w:pPr>
        <w:ind w:left="3748" w:hanging="180"/>
      </w:pPr>
    </w:lvl>
    <w:lvl w:ilvl="3" w:tplc="0407000F" w:tentative="1">
      <w:start w:val="1"/>
      <w:numFmt w:val="decimal"/>
      <w:lvlText w:val="%4."/>
      <w:lvlJc w:val="left"/>
      <w:pPr>
        <w:ind w:left="4468" w:hanging="360"/>
      </w:pPr>
    </w:lvl>
    <w:lvl w:ilvl="4" w:tplc="04070019" w:tentative="1">
      <w:start w:val="1"/>
      <w:numFmt w:val="lowerLetter"/>
      <w:lvlText w:val="%5."/>
      <w:lvlJc w:val="left"/>
      <w:pPr>
        <w:ind w:left="5188" w:hanging="360"/>
      </w:pPr>
    </w:lvl>
    <w:lvl w:ilvl="5" w:tplc="0407001B" w:tentative="1">
      <w:start w:val="1"/>
      <w:numFmt w:val="lowerRoman"/>
      <w:lvlText w:val="%6."/>
      <w:lvlJc w:val="right"/>
      <w:pPr>
        <w:ind w:left="5908" w:hanging="180"/>
      </w:pPr>
    </w:lvl>
    <w:lvl w:ilvl="6" w:tplc="0407000F" w:tentative="1">
      <w:start w:val="1"/>
      <w:numFmt w:val="decimal"/>
      <w:lvlText w:val="%7."/>
      <w:lvlJc w:val="left"/>
      <w:pPr>
        <w:ind w:left="6628" w:hanging="360"/>
      </w:pPr>
    </w:lvl>
    <w:lvl w:ilvl="7" w:tplc="04070019" w:tentative="1">
      <w:start w:val="1"/>
      <w:numFmt w:val="lowerLetter"/>
      <w:lvlText w:val="%8."/>
      <w:lvlJc w:val="left"/>
      <w:pPr>
        <w:ind w:left="7348" w:hanging="360"/>
      </w:pPr>
    </w:lvl>
    <w:lvl w:ilvl="8" w:tplc="0407001B" w:tentative="1">
      <w:start w:val="1"/>
      <w:numFmt w:val="lowerRoman"/>
      <w:lvlText w:val="%9."/>
      <w:lvlJc w:val="right"/>
      <w:pPr>
        <w:ind w:left="8068" w:hanging="180"/>
      </w:pPr>
    </w:lvl>
  </w:abstractNum>
  <w:abstractNum w:abstractNumId="13" w15:restartNumberingAfterBreak="0">
    <w:nsid w:val="66423964"/>
    <w:multiLevelType w:val="multilevel"/>
    <w:tmpl w:val="AAC8677A"/>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14" w15:restartNumberingAfterBreak="0">
    <w:nsid w:val="68874193"/>
    <w:multiLevelType w:val="multilevel"/>
    <w:tmpl w:val="F41A2534"/>
    <w:styleLink w:val="zzzListeAufzhlung"/>
    <w:lvl w:ilvl="0">
      <w:start w:val="1"/>
      <w:numFmt w:val="bullet"/>
      <w:pStyle w:val="AntwortSpiegelstrich"/>
      <w:lvlText w:val="-"/>
      <w:lvlJc w:val="left"/>
      <w:pPr>
        <w:ind w:left="284" w:hanging="284"/>
      </w:pPr>
      <w:rPr>
        <w:rFonts w:ascii="Arial" w:hAnsi="Arial" w:hint="default"/>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5"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5"/>
  </w:num>
  <w:num w:numId="2">
    <w:abstractNumId w:val="8"/>
  </w:num>
  <w:num w:numId="3">
    <w:abstractNumId w:val="6"/>
  </w:num>
  <w:num w:numId="4">
    <w:abstractNumId w:val="5"/>
    <w:lvlOverride w:ilvl="0">
      <w:lvl w:ilvl="0">
        <w:start w:val="1"/>
        <w:numFmt w:val="bullet"/>
        <w:lvlText w:val="-"/>
        <w:lvlJc w:val="left"/>
        <w:pPr>
          <w:ind w:left="284" w:hanging="284"/>
        </w:pPr>
        <w:rPr>
          <w:rFonts w:ascii="Arial" w:hAnsi="Arial" w:hint="default"/>
        </w:rPr>
      </w:lvl>
    </w:lvlOverride>
  </w:num>
  <w:num w:numId="5">
    <w:abstractNumId w:val="0"/>
  </w:num>
  <w:num w:numId="6">
    <w:abstractNumId w:val="0"/>
  </w:num>
  <w:num w:numId="7">
    <w:abstractNumId w:val="12"/>
  </w:num>
  <w:num w:numId="8">
    <w:abstractNumId w:val="11"/>
    <w:lvlOverride w:ilvl="0">
      <w:lvl w:ilvl="0">
        <w:start w:val="1"/>
        <w:numFmt w:val="decimal"/>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9">
    <w:abstractNumId w:val="4"/>
    <w:lvlOverride w:ilvl="0">
      <w:lvl w:ilvl="0">
        <w:start w:val="1"/>
        <w:numFmt w:val="none"/>
        <w:lvlText w:val="Vorbemerkung:"/>
        <w:lvlJc w:val="left"/>
        <w:pPr>
          <w:ind w:left="1588" w:hanging="1588"/>
        </w:pPr>
        <w:rPr>
          <w:rFonts w:hint="default"/>
          <w:b/>
          <w:i/>
          <w:lang w:val="de-DE"/>
        </w:rPr>
      </w:lvl>
    </w:lvlOverride>
  </w:num>
  <w:num w:numId="10">
    <w:abstractNumId w:val="5"/>
    <w:lvlOverride w:ilvl="0">
      <w:lvl w:ilvl="0">
        <w:start w:val="1"/>
        <w:numFmt w:val="bullet"/>
        <w:lvlText w:val="-"/>
        <w:lvlJc w:val="left"/>
        <w:pPr>
          <w:ind w:left="284" w:hanging="284"/>
        </w:pPr>
        <w:rPr>
          <w:rFonts w:ascii="Arial" w:hAnsi="Arial" w:hint="default"/>
        </w:rPr>
      </w:lvl>
    </w:lvlOverride>
  </w:num>
  <w:num w:numId="11">
    <w:abstractNumId w:val="0"/>
  </w:num>
  <w:num w:numId="12">
    <w:abstractNumId w:val="12"/>
  </w:num>
  <w:num w:numId="13">
    <w:abstractNumId w:val="11"/>
    <w:lvlOverride w:ilvl="0">
      <w:lvl w:ilvl="0">
        <w:start w:val="1"/>
        <w:numFmt w:val="decimal"/>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4">
    <w:abstractNumId w:val="4"/>
    <w:lvlOverride w:ilvl="0">
      <w:lvl w:ilvl="0">
        <w:start w:val="1"/>
        <w:numFmt w:val="none"/>
        <w:lvlText w:val="Vorbemerkung:"/>
        <w:lvlJc w:val="left"/>
        <w:pPr>
          <w:ind w:left="1588" w:hanging="1588"/>
        </w:pPr>
        <w:rPr>
          <w:rFonts w:hint="default"/>
          <w:b/>
          <w:i/>
          <w:lang w:val="de-DE"/>
        </w:rPr>
      </w:lvl>
    </w:lvlOverride>
  </w:num>
  <w:num w:numId="15">
    <w:abstractNumId w:val="5"/>
    <w:lvlOverride w:ilvl="0">
      <w:lvl w:ilvl="0">
        <w:start w:val="1"/>
        <w:numFmt w:val="bullet"/>
        <w:lvlText w:val="-"/>
        <w:lvlJc w:val="left"/>
        <w:pPr>
          <w:ind w:left="284" w:hanging="284"/>
        </w:pPr>
        <w:rPr>
          <w:rFonts w:ascii="Arial" w:hAnsi="Arial" w:hint="default"/>
        </w:rPr>
      </w:lvl>
    </w:lvlOverride>
  </w:num>
  <w:num w:numId="16">
    <w:abstractNumId w:val="0"/>
  </w:num>
  <w:num w:numId="17">
    <w:abstractNumId w:val="12"/>
  </w:num>
  <w:num w:numId="18">
    <w:abstractNumId w:val="11"/>
    <w:lvlOverride w:ilvl="0">
      <w:lvl w:ilvl="0">
        <w:start w:val="1"/>
        <w:numFmt w:val="decimal"/>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9">
    <w:abstractNumId w:val="4"/>
    <w:lvlOverride w:ilvl="0">
      <w:lvl w:ilvl="0">
        <w:start w:val="1"/>
        <w:numFmt w:val="none"/>
        <w:lvlText w:val="Vorbemerkung:"/>
        <w:lvlJc w:val="left"/>
        <w:pPr>
          <w:ind w:left="1588" w:hanging="1588"/>
        </w:pPr>
        <w:rPr>
          <w:rFonts w:hint="default"/>
          <w:b/>
          <w:i/>
          <w:lang w:val="de-DE"/>
        </w:rPr>
      </w:lvl>
    </w:lvlOverride>
  </w:num>
  <w:num w:numId="20">
    <w:abstractNumId w:val="9"/>
  </w:num>
  <w:num w:numId="21">
    <w:abstractNumId w:val="9"/>
  </w:num>
  <w:num w:numId="22">
    <w:abstractNumId w:val="5"/>
  </w:num>
  <w:num w:numId="23">
    <w:abstractNumId w:val="11"/>
    <w:lvlOverride w:ilvl="0">
      <w:lvl w:ilvl="0">
        <w:start w:val="1"/>
        <w:numFmt w:val="decimal"/>
        <w:lvlText w:val="Frage %1:"/>
        <w:lvlJc w:val="left"/>
        <w:pPr>
          <w:ind w:left="1588" w:hanging="1588"/>
        </w:pPr>
        <w:rPr>
          <w:b/>
          <w:bCs/>
        </w:rPr>
      </w:lvl>
    </w:lvlOverride>
  </w:num>
  <w:num w:numId="24">
    <w:abstractNumId w:val="4"/>
  </w:num>
  <w:num w:numId="25">
    <w:abstractNumId w:val="11"/>
  </w:num>
  <w:num w:numId="26">
    <w:abstractNumId w:val="14"/>
  </w:num>
  <w:num w:numId="27">
    <w:abstractNumId w:val="0"/>
  </w:num>
  <w:num w:numId="28">
    <w:abstractNumId w:val="12"/>
  </w:num>
  <w:num w:numId="29">
    <w:abstractNumId w:val="10"/>
  </w:num>
  <w:num w:numId="30">
    <w:abstractNumId w:val="13"/>
  </w:num>
  <w:num w:numId="31">
    <w:abstractNumId w:val="9"/>
  </w:num>
  <w:num w:numId="32">
    <w:abstractNumId w:val="9"/>
  </w:num>
  <w:num w:numId="33">
    <w:abstractNumId w:val="14"/>
  </w:num>
  <w:num w:numId="34">
    <w:abstractNumId w:val="10"/>
  </w:num>
  <w:num w:numId="35">
    <w:abstractNumId w:val="13"/>
  </w:num>
  <w:num w:numId="36">
    <w:abstractNumId w:val="10"/>
    <w:lvlOverride w:ilvl="0">
      <w:lvl w:ilvl="0">
        <w:start w:val="1"/>
        <w:numFmt w:val="decimal"/>
        <w:pStyle w:val="FrageNummer1"/>
        <w:lvlText w:val="Frage %1:"/>
        <w:lvlJc w:val="left"/>
        <w:pPr>
          <w:ind w:left="1588" w:hanging="1588"/>
        </w:pPr>
        <w:rPr>
          <w:rFonts w:asciiTheme="minorHAnsi" w:hAnsiTheme="minorHAnsi" w:hint="default"/>
          <w:b/>
          <w:i/>
        </w:rPr>
      </w:lvl>
    </w:lvlOverride>
  </w:num>
  <w:num w:numId="37">
    <w:abstractNumId w:val="13"/>
    <w:lvlOverride w:ilvl="0">
      <w:lvl w:ilvl="0">
        <w:start w:val="1"/>
        <w:numFmt w:val="none"/>
        <w:pStyle w:val="FrageVorbemerkung"/>
        <w:lvlText w:val="Vorbemerkung:"/>
        <w:lvlJc w:val="left"/>
        <w:pPr>
          <w:ind w:left="1588" w:hanging="1588"/>
        </w:pPr>
        <w:rPr>
          <w:rFonts w:asciiTheme="majorHAnsi" w:hAnsiTheme="majorHAnsi" w:cstheme="majorHAnsi" w:hint="default"/>
          <w:b/>
          <w:i/>
          <w:lang w:val="de-DE"/>
        </w:rPr>
      </w:lvl>
    </w:lvlOverride>
  </w:num>
  <w:num w:numId="38">
    <w:abstractNumId w:val="7"/>
  </w:num>
  <w:num w:numId="39">
    <w:abstractNumId w:val="1"/>
  </w:num>
  <w:num w:numId="40">
    <w:abstractNumId w:val="3"/>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167"/>
    <w:rsid w:val="0000372A"/>
    <w:rsid w:val="00004A5A"/>
    <w:rsid w:val="00054F79"/>
    <w:rsid w:val="000B33F1"/>
    <w:rsid w:val="000B5CF7"/>
    <w:rsid w:val="000F1718"/>
    <w:rsid w:val="00110735"/>
    <w:rsid w:val="00143C1F"/>
    <w:rsid w:val="00164B2F"/>
    <w:rsid w:val="00174DE4"/>
    <w:rsid w:val="00187E17"/>
    <w:rsid w:val="001907EB"/>
    <w:rsid w:val="001B3148"/>
    <w:rsid w:val="001D5D76"/>
    <w:rsid w:val="001F3B2E"/>
    <w:rsid w:val="00203DB0"/>
    <w:rsid w:val="00207D79"/>
    <w:rsid w:val="002155CB"/>
    <w:rsid w:val="00223AA2"/>
    <w:rsid w:val="00226553"/>
    <w:rsid w:val="00261F0A"/>
    <w:rsid w:val="0026577B"/>
    <w:rsid w:val="002732EE"/>
    <w:rsid w:val="00283212"/>
    <w:rsid w:val="002A2773"/>
    <w:rsid w:val="002A6DAE"/>
    <w:rsid w:val="003227E4"/>
    <w:rsid w:val="00372FF4"/>
    <w:rsid w:val="003A5CAA"/>
    <w:rsid w:val="003D2D6E"/>
    <w:rsid w:val="00403525"/>
    <w:rsid w:val="00442698"/>
    <w:rsid w:val="00461395"/>
    <w:rsid w:val="004E537F"/>
    <w:rsid w:val="004F3615"/>
    <w:rsid w:val="004F5B3C"/>
    <w:rsid w:val="004F5D8B"/>
    <w:rsid w:val="00504DF6"/>
    <w:rsid w:val="005173F7"/>
    <w:rsid w:val="00551E38"/>
    <w:rsid w:val="005631C2"/>
    <w:rsid w:val="0056778B"/>
    <w:rsid w:val="00574537"/>
    <w:rsid w:val="00583BA2"/>
    <w:rsid w:val="005904D2"/>
    <w:rsid w:val="005C3D20"/>
    <w:rsid w:val="0062682B"/>
    <w:rsid w:val="006B4F05"/>
    <w:rsid w:val="006E2830"/>
    <w:rsid w:val="006E2E2B"/>
    <w:rsid w:val="00720776"/>
    <w:rsid w:val="00723298"/>
    <w:rsid w:val="00730539"/>
    <w:rsid w:val="007312F7"/>
    <w:rsid w:val="00740FEB"/>
    <w:rsid w:val="00766651"/>
    <w:rsid w:val="007711A3"/>
    <w:rsid w:val="00793362"/>
    <w:rsid w:val="00797277"/>
    <w:rsid w:val="007A421C"/>
    <w:rsid w:val="007B4109"/>
    <w:rsid w:val="007C12F1"/>
    <w:rsid w:val="007C2329"/>
    <w:rsid w:val="007C368E"/>
    <w:rsid w:val="008123BF"/>
    <w:rsid w:val="00820D59"/>
    <w:rsid w:val="00835822"/>
    <w:rsid w:val="0084490D"/>
    <w:rsid w:val="008706C6"/>
    <w:rsid w:val="00880C18"/>
    <w:rsid w:val="008866B8"/>
    <w:rsid w:val="008A25EF"/>
    <w:rsid w:val="008D2A3E"/>
    <w:rsid w:val="008F5E85"/>
    <w:rsid w:val="0090043D"/>
    <w:rsid w:val="009734FF"/>
    <w:rsid w:val="009B1502"/>
    <w:rsid w:val="009D2C40"/>
    <w:rsid w:val="009E2624"/>
    <w:rsid w:val="00A05A85"/>
    <w:rsid w:val="00A05E6E"/>
    <w:rsid w:val="00A069A4"/>
    <w:rsid w:val="00A13A5D"/>
    <w:rsid w:val="00A25C8E"/>
    <w:rsid w:val="00A559C8"/>
    <w:rsid w:val="00A74D24"/>
    <w:rsid w:val="00A83A5F"/>
    <w:rsid w:val="00AB52D5"/>
    <w:rsid w:val="00B00EB7"/>
    <w:rsid w:val="00B03869"/>
    <w:rsid w:val="00B13F16"/>
    <w:rsid w:val="00B54D28"/>
    <w:rsid w:val="00B90770"/>
    <w:rsid w:val="00BC1450"/>
    <w:rsid w:val="00C0607D"/>
    <w:rsid w:val="00C14257"/>
    <w:rsid w:val="00C55B86"/>
    <w:rsid w:val="00C75853"/>
    <w:rsid w:val="00CA014B"/>
    <w:rsid w:val="00CF7BFB"/>
    <w:rsid w:val="00D17713"/>
    <w:rsid w:val="00D25391"/>
    <w:rsid w:val="00D367A0"/>
    <w:rsid w:val="00D81EED"/>
    <w:rsid w:val="00DA104D"/>
    <w:rsid w:val="00DB2BAD"/>
    <w:rsid w:val="00DC32A6"/>
    <w:rsid w:val="00E05772"/>
    <w:rsid w:val="00E40362"/>
    <w:rsid w:val="00E45881"/>
    <w:rsid w:val="00E50847"/>
    <w:rsid w:val="00E63737"/>
    <w:rsid w:val="00EA1CCC"/>
    <w:rsid w:val="00EE3EAB"/>
    <w:rsid w:val="00F072A3"/>
    <w:rsid w:val="00F357BD"/>
    <w:rsid w:val="00F500D5"/>
    <w:rsid w:val="00F545A5"/>
    <w:rsid w:val="00F7602B"/>
    <w:rsid w:val="00FB6E42"/>
    <w:rsid w:val="00FD3C7F"/>
    <w:rsid w:val="00FD4167"/>
    <w:rsid w:val="00FF49D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77AB"/>
  <w15:chartTrackingRefBased/>
  <w15:docId w15:val="{51E563D7-14C0-4608-94E2-DAF0368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de-DE" w:eastAsia="zh-CN" w:bidi="ar-SA"/>
      </w:rPr>
    </w:rPrDefault>
    <w:pPrDefault>
      <w:pPr>
        <w:spacing w:line="259" w:lineRule="auto"/>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312F7"/>
    <w:pPr>
      <w:spacing w:line="240" w:lineRule="auto"/>
    </w:pPr>
    <w:rPr>
      <w:rFonts w:eastAsia="Calibri" w:cs="Times New Roman"/>
    </w:rPr>
  </w:style>
  <w:style w:type="paragraph" w:styleId="berschrift1">
    <w:name w:val="heading 1"/>
    <w:basedOn w:val="Standard"/>
    <w:next w:val="Standard"/>
    <w:link w:val="berschrift1Zchn"/>
    <w:uiPriority w:val="99"/>
    <w:qFormat/>
    <w:rsid w:val="007312F7"/>
    <w:pPr>
      <w:keepNext/>
      <w:keepLines/>
      <w:numPr>
        <w:numId w:val="32"/>
      </w:numPr>
      <w:spacing w:before="240"/>
      <w:jc w:val="center"/>
      <w:outlineLvl w:val="0"/>
    </w:pPr>
    <w:rPr>
      <w:rFonts w:asciiTheme="majorHAnsi" w:eastAsiaTheme="majorEastAsia" w:hAnsiTheme="majorHAnsi" w:cstheme="majorHAnsi"/>
      <w:b/>
      <w:sz w:val="36"/>
      <w:szCs w:val="36"/>
    </w:rPr>
  </w:style>
  <w:style w:type="paragraph" w:styleId="berschrift2">
    <w:name w:val="heading 2"/>
    <w:basedOn w:val="Standard"/>
    <w:next w:val="Standard"/>
    <w:link w:val="berschrift2Zchn"/>
    <w:uiPriority w:val="99"/>
    <w:qFormat/>
    <w:rsid w:val="007312F7"/>
    <w:pPr>
      <w:keepNext/>
      <w:keepLines/>
      <w:numPr>
        <w:ilvl w:val="1"/>
        <w:numId w:val="32"/>
      </w:numPr>
      <w:spacing w:before="480" w:after="240"/>
      <w:outlineLvl w:val="1"/>
    </w:pPr>
    <w:rPr>
      <w:rFonts w:asciiTheme="majorHAnsi" w:eastAsiaTheme="majorEastAsia" w:hAnsiTheme="majorHAnsi" w:cstheme="majorBidi"/>
      <w:b/>
    </w:rPr>
  </w:style>
  <w:style w:type="paragraph" w:styleId="berschrift3">
    <w:name w:val="heading 3"/>
    <w:basedOn w:val="Standard"/>
    <w:next w:val="Standard"/>
    <w:link w:val="berschrift3Zchn"/>
    <w:uiPriority w:val="99"/>
    <w:semiHidden/>
    <w:qFormat/>
    <w:rsid w:val="007312F7"/>
    <w:pPr>
      <w:keepNext/>
      <w:keepLines/>
      <w:spacing w:before="40" w:after="80"/>
      <w:outlineLvl w:val="2"/>
    </w:pPr>
    <w:rPr>
      <w:rFonts w:asciiTheme="majorHAnsi" w:eastAsiaTheme="majorEastAsia" w:hAnsiTheme="majorHAnsi" w:cstheme="majorBidi"/>
      <w:b/>
      <w:i/>
    </w:rPr>
  </w:style>
  <w:style w:type="paragraph" w:styleId="berschrift4">
    <w:name w:val="heading 4"/>
    <w:basedOn w:val="Standard"/>
    <w:next w:val="Standard"/>
    <w:link w:val="berschrift4Zchn"/>
    <w:uiPriority w:val="99"/>
    <w:semiHidden/>
    <w:qFormat/>
    <w:rsid w:val="007312F7"/>
    <w:pPr>
      <w:keepNext/>
      <w:keepLines/>
      <w:spacing w:before="160" w:after="110"/>
      <w:outlineLvl w:val="3"/>
    </w:pPr>
    <w:rPr>
      <w:rFonts w:asciiTheme="majorHAnsi" w:eastAsiaTheme="majorEastAsia" w:hAnsiTheme="majorHAnsi"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Quelle">
    <w:name w:val="Abbildung Quelle"/>
    <w:basedOn w:val="Standard"/>
    <w:uiPriority w:val="15"/>
    <w:qFormat/>
    <w:rsid w:val="007312F7"/>
    <w:pPr>
      <w:spacing w:before="80" w:after="240"/>
      <w:contextualSpacing/>
    </w:pPr>
  </w:style>
  <w:style w:type="paragraph" w:customStyle="1" w:styleId="Abbildungberschrift">
    <w:name w:val="Abbildung Überschrift"/>
    <w:basedOn w:val="Standard"/>
    <w:uiPriority w:val="14"/>
    <w:qFormat/>
    <w:rsid w:val="007312F7"/>
    <w:pPr>
      <w:keepNext/>
      <w:keepLines/>
      <w:spacing w:before="240" w:after="80"/>
      <w:contextualSpacing/>
      <w:outlineLvl w:val="4"/>
    </w:pPr>
  </w:style>
  <w:style w:type="paragraph" w:customStyle="1" w:styleId="AntwortSpiegelstrich">
    <w:name w:val="Antwort Spiegelstrich"/>
    <w:basedOn w:val="Standard"/>
    <w:uiPriority w:val="11"/>
    <w:qFormat/>
    <w:rsid w:val="007312F7"/>
    <w:pPr>
      <w:numPr>
        <w:numId w:val="33"/>
      </w:numPr>
      <w:spacing w:before="40"/>
    </w:pPr>
  </w:style>
  <w:style w:type="paragraph" w:customStyle="1" w:styleId="AntwortText">
    <w:name w:val="Antwort Text"/>
    <w:basedOn w:val="Standard"/>
    <w:uiPriority w:val="10"/>
    <w:qFormat/>
    <w:rsid w:val="007312F7"/>
    <w:pPr>
      <w:spacing w:before="80"/>
    </w:pPr>
  </w:style>
  <w:style w:type="paragraph" w:customStyle="1" w:styleId="Antwortberschrift">
    <w:name w:val="Antwort Überschrift"/>
    <w:basedOn w:val="Standard"/>
    <w:next w:val="AntwortText"/>
    <w:uiPriority w:val="9"/>
    <w:qFormat/>
    <w:rsid w:val="007312F7"/>
    <w:pPr>
      <w:keepNext/>
      <w:keepLines/>
      <w:spacing w:before="80"/>
      <w:outlineLvl w:val="3"/>
    </w:pPr>
    <w:rPr>
      <w:b/>
    </w:rPr>
  </w:style>
  <w:style w:type="paragraph" w:styleId="Aufzhlungszeichen3">
    <w:name w:val="List Bullet 3"/>
    <w:basedOn w:val="Standard"/>
    <w:uiPriority w:val="99"/>
    <w:semiHidden/>
    <w:rsid w:val="007312F7"/>
    <w:pPr>
      <w:numPr>
        <w:numId w:val="27"/>
      </w:numPr>
      <w:contextualSpacing/>
    </w:pPr>
  </w:style>
  <w:style w:type="table" w:customStyle="1" w:styleId="Basis">
    <w:name w:val="Basis"/>
    <w:basedOn w:val="NormaleTabelle"/>
    <w:uiPriority w:val="99"/>
    <w:rsid w:val="007312F7"/>
    <w:pPr>
      <w:spacing w:line="240" w:lineRule="auto"/>
    </w:pPr>
    <w:rPr>
      <w:rFonts w:asciiTheme="minorHAnsi" w:eastAsiaTheme="minorHAnsi" w:hAnsiTheme="minorHAnsi"/>
      <w:lang w:eastAsia="en-US"/>
    </w:rPr>
    <w:tblPr>
      <w:tblCellMar>
        <w:left w:w="0" w:type="dxa"/>
        <w:right w:w="0" w:type="dxa"/>
      </w:tblCellMar>
    </w:tblPr>
  </w:style>
  <w:style w:type="paragraph" w:styleId="Beschriftung">
    <w:name w:val="caption"/>
    <w:basedOn w:val="Standard"/>
    <w:next w:val="Standard"/>
    <w:uiPriority w:val="99"/>
    <w:semiHidden/>
    <w:qFormat/>
    <w:rsid w:val="007312F7"/>
    <w:pPr>
      <w:spacing w:before="120" w:after="120"/>
    </w:pPr>
    <w:rPr>
      <w:iCs/>
      <w:color w:val="44546A" w:themeColor="text2"/>
      <w:sz w:val="18"/>
      <w:szCs w:val="18"/>
    </w:rPr>
  </w:style>
  <w:style w:type="character" w:styleId="BesuchterLink">
    <w:name w:val="FollowedHyperlink"/>
    <w:basedOn w:val="Absatz-Standardschriftart"/>
    <w:uiPriority w:val="99"/>
    <w:semiHidden/>
    <w:rsid w:val="007312F7"/>
    <w:rPr>
      <w:color w:val="954F72" w:themeColor="followedHyperlink"/>
      <w:u w:val="single"/>
    </w:rPr>
  </w:style>
  <w:style w:type="character" w:styleId="Fett">
    <w:name w:val="Strong"/>
    <w:basedOn w:val="Absatz-Standardschriftart"/>
    <w:uiPriority w:val="22"/>
    <w:qFormat/>
    <w:rsid w:val="007312F7"/>
    <w:rPr>
      <w:b/>
      <w:bCs/>
    </w:rPr>
  </w:style>
  <w:style w:type="paragraph" w:customStyle="1" w:styleId="FrageEinleitungText">
    <w:name w:val="Frage Einleitung Text"/>
    <w:basedOn w:val="Standard"/>
    <w:uiPriority w:val="3"/>
    <w:qFormat/>
    <w:rsid w:val="007312F7"/>
    <w:pPr>
      <w:spacing w:before="80"/>
      <w:ind w:left="794"/>
    </w:pPr>
    <w:rPr>
      <w:i/>
    </w:rPr>
  </w:style>
  <w:style w:type="paragraph" w:customStyle="1" w:styleId="FrageEinleitungberschrift">
    <w:name w:val="Frage Einleitung Überschrift"/>
    <w:basedOn w:val="Standard"/>
    <w:next w:val="FrageEinleitungText"/>
    <w:uiPriority w:val="2"/>
    <w:qFormat/>
    <w:rsid w:val="007312F7"/>
    <w:pPr>
      <w:keepNext/>
      <w:keepLines/>
      <w:spacing w:before="240"/>
      <w:outlineLvl w:val="2"/>
    </w:pPr>
    <w:rPr>
      <w:b/>
      <w:i/>
    </w:rPr>
  </w:style>
  <w:style w:type="paragraph" w:customStyle="1" w:styleId="FrageFortsetzung">
    <w:name w:val="Frage Fortsetzung"/>
    <w:basedOn w:val="Standard"/>
    <w:uiPriority w:val="5"/>
    <w:qFormat/>
    <w:rsid w:val="007312F7"/>
    <w:pPr>
      <w:spacing w:before="80"/>
      <w:ind w:left="1588"/>
      <w:outlineLvl w:val="2"/>
    </w:pPr>
    <w:rPr>
      <w:i/>
    </w:rPr>
  </w:style>
  <w:style w:type="paragraph" w:customStyle="1" w:styleId="FrageFortsetzungListe">
    <w:name w:val="Frage Fortsetzung Liste"/>
    <w:basedOn w:val="FrageFortsetzung"/>
    <w:uiPriority w:val="5"/>
    <w:rsid w:val="007312F7"/>
    <w:pPr>
      <w:numPr>
        <w:numId w:val="28"/>
      </w:numPr>
      <w:spacing w:after="120"/>
    </w:pPr>
  </w:style>
  <w:style w:type="paragraph" w:customStyle="1" w:styleId="FrageNummer1">
    <w:name w:val="Frage Nummer 1)"/>
    <w:basedOn w:val="Standard"/>
    <w:uiPriority w:val="4"/>
    <w:qFormat/>
    <w:rsid w:val="007312F7"/>
    <w:pPr>
      <w:numPr>
        <w:numId w:val="29"/>
      </w:numPr>
      <w:spacing w:before="240"/>
      <w:outlineLvl w:val="2"/>
    </w:pPr>
    <w:rPr>
      <w:i/>
    </w:rPr>
  </w:style>
  <w:style w:type="paragraph" w:customStyle="1" w:styleId="FrageVorbemerkung">
    <w:name w:val="Frage Vorbemerkung"/>
    <w:basedOn w:val="Standard"/>
    <w:next w:val="FrageNummer1"/>
    <w:uiPriority w:val="6"/>
    <w:qFormat/>
    <w:rsid w:val="007312F7"/>
    <w:pPr>
      <w:numPr>
        <w:numId w:val="35"/>
      </w:numPr>
      <w:spacing w:before="240"/>
      <w:outlineLvl w:val="2"/>
    </w:pPr>
    <w:rPr>
      <w:i/>
    </w:rPr>
  </w:style>
  <w:style w:type="paragraph" w:customStyle="1" w:styleId="FrageZwischenberschrift">
    <w:name w:val="Frage Zwischenüberschrift"/>
    <w:basedOn w:val="Standard"/>
    <w:next w:val="FrageNummer1"/>
    <w:uiPriority w:val="7"/>
    <w:qFormat/>
    <w:rsid w:val="007312F7"/>
    <w:pPr>
      <w:keepNext/>
      <w:keepLines/>
      <w:spacing w:before="240"/>
      <w:outlineLvl w:val="2"/>
    </w:pPr>
    <w:rPr>
      <w:b/>
    </w:rPr>
  </w:style>
  <w:style w:type="paragraph" w:styleId="Fuzeile">
    <w:name w:val="footer"/>
    <w:basedOn w:val="Standard"/>
    <w:link w:val="FuzeileZchn"/>
    <w:uiPriority w:val="99"/>
    <w:semiHidden/>
    <w:rsid w:val="007312F7"/>
    <w:pPr>
      <w:tabs>
        <w:tab w:val="center" w:pos="4536"/>
        <w:tab w:val="right" w:pos="9072"/>
      </w:tabs>
    </w:pPr>
  </w:style>
  <w:style w:type="character" w:customStyle="1" w:styleId="FuzeileZchn">
    <w:name w:val="Fußzeile Zchn"/>
    <w:basedOn w:val="Absatz-Standardschriftart"/>
    <w:link w:val="Fuzeile"/>
    <w:uiPriority w:val="99"/>
    <w:semiHidden/>
    <w:rsid w:val="007312F7"/>
    <w:rPr>
      <w:rFonts w:eastAsia="Calibri" w:cs="Times New Roman"/>
    </w:rPr>
  </w:style>
  <w:style w:type="character" w:styleId="Hervorhebung">
    <w:name w:val="Emphasis"/>
    <w:basedOn w:val="Absatz-Standardschriftart"/>
    <w:uiPriority w:val="99"/>
    <w:qFormat/>
    <w:rsid w:val="007312F7"/>
    <w:rPr>
      <w:b/>
      <w:i w:val="0"/>
      <w:iCs/>
    </w:rPr>
  </w:style>
  <w:style w:type="character" w:styleId="Hyperlink">
    <w:name w:val="Hyperlink"/>
    <w:basedOn w:val="Absatz-Standardschriftart"/>
    <w:uiPriority w:val="99"/>
    <w:semiHidden/>
    <w:rsid w:val="007312F7"/>
    <w:rPr>
      <w:color w:val="0563C1" w:themeColor="hyperlink"/>
      <w:u w:val="none"/>
    </w:rPr>
  </w:style>
  <w:style w:type="paragraph" w:styleId="Kommentartext">
    <w:name w:val="annotation text"/>
    <w:basedOn w:val="Standard"/>
    <w:link w:val="KommentartextZchn"/>
    <w:uiPriority w:val="99"/>
    <w:semiHidden/>
    <w:rsid w:val="007312F7"/>
  </w:style>
  <w:style w:type="character" w:customStyle="1" w:styleId="KommentartextZchn">
    <w:name w:val="Kommentartext Zchn"/>
    <w:basedOn w:val="Absatz-Standardschriftart"/>
    <w:link w:val="Kommentartext"/>
    <w:uiPriority w:val="99"/>
    <w:semiHidden/>
    <w:rsid w:val="007312F7"/>
    <w:rPr>
      <w:rFonts w:eastAsia="Calibri" w:cs="Times New Roman"/>
    </w:rPr>
  </w:style>
  <w:style w:type="paragraph" w:styleId="Kommentarthema">
    <w:name w:val="annotation subject"/>
    <w:basedOn w:val="Kommentartext"/>
    <w:next w:val="Kommentartext"/>
    <w:link w:val="KommentarthemaZchn"/>
    <w:uiPriority w:val="99"/>
    <w:semiHidden/>
    <w:unhideWhenUsed/>
    <w:rsid w:val="007312F7"/>
    <w:rPr>
      <w:b/>
      <w:bCs/>
    </w:rPr>
  </w:style>
  <w:style w:type="character" w:customStyle="1" w:styleId="KommentarthemaZchn">
    <w:name w:val="Kommentarthema Zchn"/>
    <w:basedOn w:val="KommentartextZchn"/>
    <w:link w:val="Kommentarthema"/>
    <w:uiPriority w:val="99"/>
    <w:semiHidden/>
    <w:rsid w:val="007312F7"/>
    <w:rPr>
      <w:rFonts w:eastAsia="Calibri" w:cs="Times New Roman"/>
      <w:b/>
      <w:bCs/>
    </w:rPr>
  </w:style>
  <w:style w:type="character" w:styleId="Kommentarzeichen">
    <w:name w:val="annotation reference"/>
    <w:basedOn w:val="Absatz-Standardschriftart"/>
    <w:uiPriority w:val="99"/>
    <w:semiHidden/>
    <w:rsid w:val="007312F7"/>
    <w:rPr>
      <w:sz w:val="16"/>
      <w:szCs w:val="16"/>
    </w:rPr>
  </w:style>
  <w:style w:type="paragraph" w:customStyle="1" w:styleId="Kopf-DrucksachenNr">
    <w:name w:val="Kopf - Drucksachen Nr."/>
    <w:basedOn w:val="Standard"/>
    <w:uiPriority w:val="31"/>
    <w:rsid w:val="007312F7"/>
    <w:pPr>
      <w:spacing w:before="100"/>
      <w:jc w:val="right"/>
    </w:pPr>
    <w:rPr>
      <w:b/>
      <w:sz w:val="45"/>
    </w:rPr>
  </w:style>
  <w:style w:type="paragraph" w:customStyle="1" w:styleId="Kopf-Fassung">
    <w:name w:val="Kopf - Fassung"/>
    <w:basedOn w:val="Standard"/>
    <w:uiPriority w:val="32"/>
    <w:rsid w:val="007312F7"/>
    <w:pPr>
      <w:framePr w:wrap="auto" w:hAnchor="text" w:x="1441"/>
      <w:spacing w:before="60"/>
      <w:jc w:val="right"/>
    </w:pPr>
    <w:rPr>
      <w:b/>
    </w:rPr>
  </w:style>
  <w:style w:type="paragraph" w:customStyle="1" w:styleId="Kopf-links">
    <w:name w:val="Kopf - links"/>
    <w:basedOn w:val="Standard"/>
    <w:uiPriority w:val="33"/>
    <w:rsid w:val="007312F7"/>
    <w:rPr>
      <w:b/>
      <w:spacing w:val="-6"/>
      <w:sz w:val="18"/>
    </w:rPr>
  </w:style>
  <w:style w:type="paragraph" w:customStyle="1" w:styleId="Kopf-rechts">
    <w:name w:val="Kopf - rechts"/>
    <w:basedOn w:val="Kopf-links"/>
    <w:uiPriority w:val="33"/>
    <w:rsid w:val="007312F7"/>
    <w:pPr>
      <w:jc w:val="right"/>
    </w:pPr>
  </w:style>
  <w:style w:type="paragraph" w:customStyle="1" w:styleId="Kopf-Wortmarke">
    <w:name w:val="Kopf - Wortmarke"/>
    <w:basedOn w:val="Standard"/>
    <w:uiPriority w:val="29"/>
    <w:rsid w:val="007312F7"/>
    <w:pPr>
      <w:framePr w:wrap="around" w:vAnchor="page" w:hAnchor="page" w:x="1441" w:y="852"/>
      <w:spacing w:line="288" w:lineRule="auto"/>
    </w:pPr>
    <w:rPr>
      <w:b/>
      <w:caps/>
      <w:sz w:val="24"/>
      <w:szCs w:val="24"/>
    </w:rPr>
  </w:style>
  <w:style w:type="paragraph" w:styleId="Kopfzeile">
    <w:name w:val="header"/>
    <w:basedOn w:val="Standard"/>
    <w:link w:val="KopfzeileZchn"/>
    <w:uiPriority w:val="99"/>
    <w:semiHidden/>
    <w:rsid w:val="007312F7"/>
    <w:pPr>
      <w:tabs>
        <w:tab w:val="center" w:pos="4536"/>
        <w:tab w:val="right" w:pos="9072"/>
      </w:tabs>
    </w:pPr>
  </w:style>
  <w:style w:type="character" w:customStyle="1" w:styleId="KopfzeileZchn">
    <w:name w:val="Kopfzeile Zchn"/>
    <w:basedOn w:val="Absatz-Standardschriftart"/>
    <w:link w:val="Kopfzeile"/>
    <w:uiPriority w:val="99"/>
    <w:semiHidden/>
    <w:rsid w:val="007312F7"/>
    <w:rPr>
      <w:rFonts w:eastAsia="Calibri" w:cs="Times New Roman"/>
    </w:rPr>
  </w:style>
  <w:style w:type="paragraph" w:styleId="Listenabsatz">
    <w:name w:val="List Paragraph"/>
    <w:basedOn w:val="Standard"/>
    <w:uiPriority w:val="99"/>
    <w:qFormat/>
    <w:rsid w:val="007312F7"/>
    <w:pPr>
      <w:ind w:left="720"/>
      <w:contextualSpacing/>
    </w:pPr>
  </w:style>
  <w:style w:type="character" w:styleId="NichtaufgelsteErwhnung">
    <w:name w:val="Unresolved Mention"/>
    <w:basedOn w:val="Absatz-Standardschriftart"/>
    <w:uiPriority w:val="99"/>
    <w:semiHidden/>
    <w:unhideWhenUsed/>
    <w:rsid w:val="007312F7"/>
    <w:rPr>
      <w:color w:val="605E5C"/>
      <w:shd w:val="clear" w:color="auto" w:fill="E1DFDD"/>
    </w:rPr>
  </w:style>
  <w:style w:type="character" w:customStyle="1" w:styleId="NichtaufgelsteErwhnung1">
    <w:name w:val="Nicht aufgelöste Erwähnung1"/>
    <w:basedOn w:val="Absatz-Standardschriftart"/>
    <w:uiPriority w:val="99"/>
    <w:semiHidden/>
    <w:unhideWhenUsed/>
    <w:rsid w:val="007312F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312F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312F7"/>
    <w:rPr>
      <w:color w:val="605E5C"/>
      <w:shd w:val="clear" w:color="auto" w:fill="E1DFDD"/>
    </w:rPr>
  </w:style>
  <w:style w:type="character" w:customStyle="1" w:styleId="NichtaufgelsteErwhnung4">
    <w:name w:val="Nicht aufgelöste Erwähnung4"/>
    <w:basedOn w:val="Absatz-Standardschriftart"/>
    <w:uiPriority w:val="99"/>
    <w:semiHidden/>
    <w:unhideWhenUsed/>
    <w:rsid w:val="007312F7"/>
    <w:rPr>
      <w:color w:val="605E5C"/>
      <w:shd w:val="clear" w:color="auto" w:fill="E1DFDD"/>
    </w:rPr>
  </w:style>
  <w:style w:type="character" w:customStyle="1" w:styleId="NichtaufgelsteErwhnung5">
    <w:name w:val="Nicht aufgelöste Erwähnung5"/>
    <w:basedOn w:val="Absatz-Standardschriftart"/>
    <w:uiPriority w:val="99"/>
    <w:semiHidden/>
    <w:unhideWhenUsed/>
    <w:rsid w:val="007312F7"/>
    <w:rPr>
      <w:color w:val="605E5C"/>
      <w:shd w:val="clear" w:color="auto" w:fill="E1DFDD"/>
    </w:rPr>
  </w:style>
  <w:style w:type="character" w:customStyle="1" w:styleId="NichtaufgelsteErwhnung6">
    <w:name w:val="Nicht aufgelöste Erwähnung6"/>
    <w:basedOn w:val="Absatz-Standardschriftart"/>
    <w:uiPriority w:val="99"/>
    <w:semiHidden/>
    <w:unhideWhenUsed/>
    <w:rsid w:val="007312F7"/>
    <w:rPr>
      <w:color w:val="605E5C"/>
      <w:shd w:val="clear" w:color="auto" w:fill="E1DFDD"/>
    </w:rPr>
  </w:style>
  <w:style w:type="character" w:styleId="Platzhaltertext">
    <w:name w:val="Placeholder Text"/>
    <w:basedOn w:val="Absatz-Standardschriftart"/>
    <w:uiPriority w:val="99"/>
    <w:semiHidden/>
    <w:rsid w:val="007312F7"/>
    <w:rPr>
      <w:color w:val="808080"/>
    </w:rPr>
  </w:style>
  <w:style w:type="paragraph" w:customStyle="1" w:styleId="Seite-grade">
    <w:name w:val="Seite - grade"/>
    <w:basedOn w:val="Standard"/>
    <w:uiPriority w:val="33"/>
    <w:rsid w:val="007312F7"/>
  </w:style>
  <w:style w:type="paragraph" w:customStyle="1" w:styleId="Seite-ungrade">
    <w:name w:val="Seite - ungrade"/>
    <w:basedOn w:val="Standard"/>
    <w:uiPriority w:val="33"/>
    <w:rsid w:val="007312F7"/>
    <w:pPr>
      <w:jc w:val="right"/>
    </w:pPr>
  </w:style>
  <w:style w:type="paragraph" w:styleId="Sprechblasentext">
    <w:name w:val="Balloon Text"/>
    <w:basedOn w:val="Standard"/>
    <w:link w:val="SprechblasentextZchn"/>
    <w:uiPriority w:val="99"/>
    <w:semiHidden/>
    <w:rsid w:val="007312F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12F7"/>
    <w:rPr>
      <w:rFonts w:ascii="Tahoma" w:eastAsia="Calibri" w:hAnsi="Tahoma" w:cs="Tahoma"/>
      <w:sz w:val="16"/>
      <w:szCs w:val="16"/>
    </w:rPr>
  </w:style>
  <w:style w:type="paragraph" w:styleId="StandardWeb">
    <w:name w:val="Normal (Web)"/>
    <w:basedOn w:val="Standard"/>
    <w:uiPriority w:val="99"/>
    <w:semiHidden/>
    <w:unhideWhenUsed/>
    <w:rsid w:val="007312F7"/>
    <w:pPr>
      <w:spacing w:before="100" w:beforeAutospacing="1" w:after="100" w:afterAutospacing="1"/>
    </w:pPr>
    <w:rPr>
      <w:rFonts w:ascii="Times New Roman" w:eastAsia="Times New Roman" w:hAnsi="Times New Roman"/>
      <w:sz w:val="24"/>
      <w:szCs w:val="24"/>
      <w:lang w:eastAsia="de-DE"/>
    </w:rPr>
  </w:style>
  <w:style w:type="table" w:customStyle="1" w:styleId="TabelleBrgerschaftHamburg">
    <w:name w:val="Tabelle // Bürgerschaft Hamburg"/>
    <w:basedOn w:val="NormaleTabelle"/>
    <w:uiPriority w:val="99"/>
    <w:rsid w:val="007312F7"/>
    <w:pPr>
      <w:spacing w:line="240" w:lineRule="auto"/>
    </w:pPr>
    <w:rPr>
      <w:rFonts w:asciiTheme="minorHAnsi" w:eastAsiaTheme="minorHAnsi"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blStylePr w:type="firstRow">
      <w:rPr>
        <w:b/>
      </w:rPr>
      <w:tblPr/>
      <w:tcPr>
        <w:shd w:val="clear" w:color="auto" w:fill="D9D9D9"/>
      </w:tcPr>
    </w:tblStylePr>
    <w:tblStylePr w:type="lastRow">
      <w:rPr>
        <w:b/>
      </w:rPr>
      <w:tblPr/>
      <w:tcPr>
        <w:shd w:val="clear" w:color="auto" w:fill="D9D9D9" w:themeFill="background1" w:themeFillShade="D9"/>
      </w:tcPr>
    </w:tblStylePr>
    <w:tblStylePr w:type="lastCol">
      <w:pPr>
        <w:jc w:val="right"/>
      </w:pPr>
    </w:tblStylePr>
  </w:style>
  <w:style w:type="paragraph" w:customStyle="1" w:styleId="TabelleKopfSpalte">
    <w:name w:val="TabelleKopfSpalte"/>
    <w:basedOn w:val="Standard"/>
    <w:rsid w:val="007312F7"/>
    <w:rPr>
      <w:rFonts w:cs="Arial"/>
      <w:b/>
      <w:bCs/>
    </w:rPr>
  </w:style>
  <w:style w:type="paragraph" w:customStyle="1" w:styleId="TabelleKopfZeile">
    <w:name w:val="TabelleKopfZeile"/>
    <w:basedOn w:val="Standard"/>
    <w:rsid w:val="007312F7"/>
    <w:rPr>
      <w:rFonts w:cs="Arial"/>
      <w:bCs/>
    </w:rPr>
  </w:style>
  <w:style w:type="table" w:styleId="Tabellenraster">
    <w:name w:val="Table Grid"/>
    <w:basedOn w:val="NormaleTabelle"/>
    <w:uiPriority w:val="39"/>
    <w:rsid w:val="007312F7"/>
    <w:pPr>
      <w:spacing w:line="240" w:lineRule="auto"/>
    </w:pPr>
    <w:rPr>
      <w:rFonts w:asciiTheme="minorHAnsi" w:eastAsiaTheme="minorHAnsi"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Betreff">
    <w:name w:val="Titel - Betreff"/>
    <w:basedOn w:val="Standard"/>
    <w:uiPriority w:val="26"/>
    <w:qFormat/>
    <w:rsid w:val="007312F7"/>
    <w:pPr>
      <w:tabs>
        <w:tab w:val="left" w:pos="794"/>
      </w:tabs>
      <w:spacing w:before="480" w:after="240"/>
      <w:ind w:left="794" w:hanging="794"/>
      <w:outlineLvl w:val="1"/>
    </w:pPr>
    <w:rPr>
      <w:b/>
    </w:rPr>
  </w:style>
  <w:style w:type="paragraph" w:customStyle="1" w:styleId="Titel-Dokumentenart">
    <w:name w:val="Titel - Dokumentenart"/>
    <w:basedOn w:val="Standard"/>
    <w:link w:val="Titel-DokumentenartZchn"/>
    <w:uiPriority w:val="24"/>
    <w:qFormat/>
    <w:rsid w:val="007312F7"/>
    <w:pPr>
      <w:keepNext/>
      <w:keepLines/>
      <w:spacing w:before="240" w:after="240"/>
      <w:jc w:val="center"/>
      <w:outlineLvl w:val="1"/>
    </w:pPr>
    <w:rPr>
      <w:b/>
      <w:sz w:val="36"/>
    </w:rPr>
  </w:style>
  <w:style w:type="character" w:customStyle="1" w:styleId="Titel-DokumentenartZchn">
    <w:name w:val="Titel - Dokumentenart Zchn"/>
    <w:basedOn w:val="Absatz-Standardschriftart"/>
    <w:link w:val="Titel-Dokumentenart"/>
    <w:uiPriority w:val="24"/>
    <w:rsid w:val="007312F7"/>
    <w:rPr>
      <w:rFonts w:eastAsia="Calibri" w:cs="Times New Roman"/>
      <w:b/>
      <w:sz w:val="36"/>
    </w:rPr>
  </w:style>
  <w:style w:type="paragraph" w:customStyle="1" w:styleId="Titel-Fragesteller">
    <w:name w:val="Titel - Fragesteller"/>
    <w:basedOn w:val="Standard"/>
    <w:link w:val="Titel-FragestellerZchn"/>
    <w:uiPriority w:val="25"/>
    <w:qFormat/>
    <w:rsid w:val="007312F7"/>
    <w:pPr>
      <w:keepNext/>
      <w:keepLines/>
      <w:spacing w:before="240" w:after="240"/>
      <w:jc w:val="center"/>
      <w:outlineLvl w:val="0"/>
    </w:pPr>
    <w:rPr>
      <w:b/>
    </w:rPr>
  </w:style>
  <w:style w:type="character" w:customStyle="1" w:styleId="Titel-FragestellerZchn">
    <w:name w:val="Titel - Fragesteller Zchn"/>
    <w:basedOn w:val="Absatz-Standardschriftart"/>
    <w:link w:val="Titel-Fragesteller"/>
    <w:uiPriority w:val="25"/>
    <w:rsid w:val="007312F7"/>
    <w:rPr>
      <w:rFonts w:eastAsia="Calibri" w:cs="Times New Roman"/>
      <w:b/>
    </w:rPr>
  </w:style>
  <w:style w:type="paragraph" w:styleId="Titel">
    <w:name w:val="Title"/>
    <w:aliases w:val="Kopf - Wahlperiode"/>
    <w:basedOn w:val="Standard"/>
    <w:link w:val="TitelZchn"/>
    <w:uiPriority w:val="30"/>
    <w:rsid w:val="007312F7"/>
    <w:rPr>
      <w:rFonts w:asciiTheme="majorHAnsi" w:eastAsiaTheme="majorEastAsia" w:hAnsiTheme="majorHAnsi" w:cstheme="majorBidi"/>
      <w:kern w:val="28"/>
      <w:sz w:val="24"/>
      <w:szCs w:val="56"/>
    </w:rPr>
  </w:style>
  <w:style w:type="character" w:customStyle="1" w:styleId="TitelZchn">
    <w:name w:val="Titel Zchn"/>
    <w:aliases w:val="Kopf - Wahlperiode Zchn"/>
    <w:basedOn w:val="Absatz-Standardschriftart"/>
    <w:link w:val="Titel"/>
    <w:uiPriority w:val="30"/>
    <w:rsid w:val="007312F7"/>
    <w:rPr>
      <w:rFonts w:asciiTheme="majorHAnsi" w:eastAsiaTheme="majorEastAsia" w:hAnsiTheme="majorHAnsi" w:cstheme="majorBidi"/>
      <w:kern w:val="28"/>
      <w:sz w:val="24"/>
      <w:szCs w:val="56"/>
    </w:rPr>
  </w:style>
  <w:style w:type="character" w:customStyle="1" w:styleId="Titel-Fragesteller-Gross">
    <w:name w:val="Titel-Fragesteller-Gross"/>
    <w:basedOn w:val="Absatz-Standardschriftart"/>
    <w:uiPriority w:val="23"/>
    <w:qFormat/>
    <w:rsid w:val="007312F7"/>
    <w:rPr>
      <w:sz w:val="36"/>
    </w:rPr>
  </w:style>
  <w:style w:type="character" w:customStyle="1" w:styleId="berschrift1Zchn">
    <w:name w:val="Überschrift 1 Zchn"/>
    <w:basedOn w:val="Absatz-Standardschriftart"/>
    <w:link w:val="berschrift1"/>
    <w:uiPriority w:val="99"/>
    <w:rsid w:val="007312F7"/>
    <w:rPr>
      <w:rFonts w:asciiTheme="majorHAnsi" w:eastAsiaTheme="majorEastAsia" w:hAnsiTheme="majorHAnsi" w:cstheme="majorHAnsi"/>
      <w:b/>
      <w:sz w:val="36"/>
      <w:szCs w:val="36"/>
    </w:rPr>
  </w:style>
  <w:style w:type="character" w:customStyle="1" w:styleId="berschrift2Zchn">
    <w:name w:val="Überschrift 2 Zchn"/>
    <w:basedOn w:val="Absatz-Standardschriftart"/>
    <w:link w:val="berschrift2"/>
    <w:uiPriority w:val="99"/>
    <w:rsid w:val="007312F7"/>
    <w:rPr>
      <w:rFonts w:asciiTheme="majorHAnsi" w:eastAsiaTheme="majorEastAsia" w:hAnsiTheme="majorHAnsi" w:cstheme="majorBidi"/>
      <w:b/>
    </w:rPr>
  </w:style>
  <w:style w:type="character" w:customStyle="1" w:styleId="berschrift3Zchn">
    <w:name w:val="Überschrift 3 Zchn"/>
    <w:basedOn w:val="Absatz-Standardschriftart"/>
    <w:link w:val="berschrift3"/>
    <w:uiPriority w:val="99"/>
    <w:semiHidden/>
    <w:rsid w:val="007312F7"/>
    <w:rPr>
      <w:rFonts w:asciiTheme="majorHAnsi" w:eastAsiaTheme="majorEastAsia" w:hAnsiTheme="majorHAnsi" w:cstheme="majorBidi"/>
      <w:b/>
      <w:i/>
    </w:rPr>
  </w:style>
  <w:style w:type="character" w:customStyle="1" w:styleId="berschrift4Zchn">
    <w:name w:val="Überschrift 4 Zchn"/>
    <w:basedOn w:val="Absatz-Standardschriftart"/>
    <w:link w:val="berschrift4"/>
    <w:uiPriority w:val="99"/>
    <w:semiHidden/>
    <w:rsid w:val="007312F7"/>
    <w:rPr>
      <w:rFonts w:asciiTheme="majorHAnsi" w:eastAsiaTheme="majorEastAsia" w:hAnsiTheme="majorHAnsi" w:cstheme="majorBidi"/>
      <w:b/>
      <w:iCs/>
    </w:rPr>
  </w:style>
  <w:style w:type="numbering" w:customStyle="1" w:styleId="zzzListeAufzhlung">
    <w:name w:val="zzz_Liste_Aufzählung"/>
    <w:basedOn w:val="KeineListe"/>
    <w:uiPriority w:val="99"/>
    <w:rsid w:val="007312F7"/>
    <w:pPr>
      <w:numPr>
        <w:numId w:val="26"/>
      </w:numPr>
    </w:pPr>
  </w:style>
  <w:style w:type="numbering" w:customStyle="1" w:styleId="zzzListeFrage">
    <w:name w:val="zzz_Liste_Frage"/>
    <w:basedOn w:val="KeineListe"/>
    <w:uiPriority w:val="99"/>
    <w:rsid w:val="007312F7"/>
    <w:pPr>
      <w:numPr>
        <w:numId w:val="29"/>
      </w:numPr>
    </w:pPr>
  </w:style>
  <w:style w:type="numbering" w:customStyle="1" w:styleId="zzzListeVorbemerkung">
    <w:name w:val="zzz_Liste_Vorbemerkung"/>
    <w:basedOn w:val="KeineListe"/>
    <w:uiPriority w:val="99"/>
    <w:rsid w:val="007312F7"/>
    <w:pPr>
      <w:numPr>
        <w:numId w:val="30"/>
      </w:numPr>
    </w:pPr>
  </w:style>
  <w:style w:type="paragraph" w:styleId="berarbeitung">
    <w:name w:val="Revision"/>
    <w:hidden/>
    <w:uiPriority w:val="99"/>
    <w:semiHidden/>
    <w:rsid w:val="00A74D24"/>
    <w:pPr>
      <w:spacing w:line="240" w:lineRule="auto"/>
      <w:jc w:val="left"/>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98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vidchipperfield.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agdenstaat.de/a/24438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SW-Standa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6A9A8C494B4CA49B42C7F11167A0C1B" ma:contentTypeVersion="11" ma:contentTypeDescription="Ein neues Dokument erstellen." ma:contentTypeScope="" ma:versionID="dd44e7abcb15e473f24f247cd68a643f">
  <xsd:schema xmlns:xsd="http://www.w3.org/2001/XMLSchema" xmlns:xs="http://www.w3.org/2001/XMLSchema" xmlns:p="http://schemas.microsoft.com/office/2006/metadata/properties" xmlns:ns2="9b1c90e2-e923-42ab-b1b1-2a26b35c5a1c" targetNamespace="http://schemas.microsoft.com/office/2006/metadata/properties" ma:root="true" ma:fieldsID="3e50650c40761153875371822d5c70e2" ns2:_="">
    <xsd:import namespace="9b1c90e2-e923-42ab-b1b1-2a26b35c5a1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c90e2-e923-42ab-b1b1-2a26b35c5a1c"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18E98-685A-4880-B30C-1BFEE29B4B03}">
  <ds:schemaRefs>
    <ds:schemaRef ds:uri="http://schemas.microsoft.com/sharepoint/v3/contenttype/forms"/>
  </ds:schemaRefs>
</ds:datastoreItem>
</file>

<file path=customXml/itemProps2.xml><?xml version="1.0" encoding="utf-8"?>
<ds:datastoreItem xmlns:ds="http://schemas.openxmlformats.org/officeDocument/2006/customXml" ds:itemID="{C67194CD-E3A0-4F22-8A64-16B704FFA646}">
  <ds:schemaRefs>
    <ds:schemaRef ds:uri="http://purl.org/dc/dcmitype/"/>
    <ds:schemaRef ds:uri="http://schemas.openxmlformats.org/package/2006/metadata/core-properties"/>
    <ds:schemaRef ds:uri="9b1c90e2-e923-42ab-b1b1-2a26b35c5a1c"/>
    <ds:schemaRef ds:uri="http://schemas.microsoft.com/office/infopath/2007/PartnerControls"/>
    <ds:schemaRef ds:uri="http://schemas.microsoft.com/office/2006/documentManagement/types"/>
    <ds:schemaRef ds:uri="http://purl.org/dc/term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72DC389-620B-4C20-9E64-266B90975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c90e2-e923-42ab-b1b1-2a26b35c5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3AAEF0-4318-4279-8314-2D7D5A4F1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2071</Words>
  <Characters>13094</Characters>
  <Application>Microsoft Office Word</Application>
  <DocSecurity>0</DocSecurity>
  <Lines>204</Lines>
  <Paragraphs>69</Paragraphs>
  <ScaleCrop>false</ScaleCrop>
  <HeadingPairs>
    <vt:vector size="4" baseType="variant">
      <vt:variant>
        <vt:lpstr>Titel</vt:lpstr>
      </vt:variant>
      <vt:variant>
        <vt:i4>1</vt:i4>
      </vt:variant>
      <vt:variant>
        <vt:lpstr>Überschriften</vt:lpstr>
      </vt:variant>
      <vt:variant>
        <vt:i4>56</vt:i4>
      </vt:variant>
    </vt:vector>
  </HeadingPairs>
  <TitlesOfParts>
    <vt:vector size="57" baseType="lpstr">
      <vt:lpstr/>
      <vt:lpstr>    Betr.:	Elbtower – Welche Fristen und welche Wiederkaufsmöglichkheiten bei Insolv</vt:lpstr>
      <vt:lpstr>        Einleitung für die Fragen:</vt:lpstr>
      <vt:lpstr>        Ich frage den Senat:</vt:lpstr>
      <vt:lpstr>        Der Grundstückskaufvertrag sichert unter anderem mit einem Fristenregime den Bau</vt:lpstr>
      <vt:lpstr>        Geschuldet wird die Fertigstellung (§ 9.2.1 (e) und § 9.2.1 (f) des Kaufvertrags</vt:lpstr>
      <vt:lpstr>        Vertragsstrafen werden fällig bei Nicht-Fertigstellung (§ 17.1.1 (e) und § 17.1.</vt:lpstr>
      <vt:lpstr>        Ein Wiederkaufsrecht tritt ein bei Nicht-Fertigstellung (§ 19.1.1 (c) und § 19.1</vt:lpstr>
      <vt:lpstr>        Darüber hinaus ist im Grundstückskaufvertrag die Rechtsposition der FHH zudem du</vt:lpstr>
      <vt:lpstr>        Der Grundstückskaufvertrag wird in der Öffentlichkeit derzeit durch das Herauslö</vt:lpstr>
      <vt:lpstr>        Die Möglichkeit zum Wiederkauf bei einer Wirtschaftlichen Verschlechterung bis z</vt:lpstr>
      <vt:lpstr>        Dies vorausgeschickt, beantwortet der Senat die Fragen auf der Grundlage von Aus</vt:lpstr>
      <vt:lpstr>        Insolvenz und Wiederkaufsrecht</vt:lpstr>
      <vt:lpstr>        Im Grundstückskaufvertrag (GKV) steht unter § 19.1.3: „Nach dem Übergang des Eig</vt:lpstr>
      <vt:lpstr>        Eintritt einer Wirtschaftliche Verschlechterung des Käufers gemäß § 10.7. innerh</vt:lpstr>
      <vt:lpstr>        In der Drucksache 22/13451, Nr. 6-7, antwortet der Senat auf meine Frage, welch</vt:lpstr>
      <vt:lpstr>        Weshalb weicht der Senat in seiner Antwort auf meine Frage in der Drucksache 22/</vt:lpstr>
      <vt:lpstr>        Weshalb wurde diese Klausel in den GKV aufgenommen, wenn es doch immer darum gin</vt:lpstr>
      <vt:lpstr>        Weshalb wurde überhaupt eine Frist aufgenommen, wenn die einfachere und zielführ</vt:lpstr>
      <vt:lpstr>        Welche Möglichkeiten hat der Senat diesen – laut ZEIT ONLINE vom 29.11.23 – „off</vt:lpstr>
      <vt:lpstr>        Siehe Vorbemerkung.</vt:lpstr>
      <vt:lpstr>        Welche Möglichkeiten bestehen in diesem Zusammenhang, im Nachhinein den Willen d</vt:lpstr>
      <vt:lpstr>        Es gilt die juristische Auslegungsmethodik. Im Übrigen siehe Vorbemerkung. </vt:lpstr>
      <vt:lpstr>        Hat der Senat Vorbereitungen getroffen, um im Falle einer Insolvenz der im GKV g</vt:lpstr>
      <vt:lpstr>        Unmittelbare Auswirkungen für das Vertragsverhältnis würden sich lediglich aus e</vt:lpstr>
      <vt:lpstr>        Wurde der Senat resp. die HafenCityHamburg GmbH (HCH) mittlerweile über eine „Wi</vt:lpstr>
      <vt:lpstr>        Eine Mitteilung über eine Wirtschaftliche Verschlechterung ist Stand 07.12.2023 </vt:lpstr>
      <vt:lpstr>        Unabhängig von der Mitteilungspflicht der Käuferin verfolgt die HCH die tägliche</vt:lpstr>
      <vt:lpstr>        Laut § 19.2.5 wäre die Stadt berechtigt, bei einem Wiederkauf in alle im Zusamme</vt:lpstr>
      <vt:lpstr>        Ist in all diesen Verträgen ein Eintrittsrecht enthalten? Falls nein, bitte ange</vt:lpstr>
      <vt:lpstr>        In allen bisher gegenüber der Verkäuferin nach § 9.4.1 (a) und (b) des Grundstüc</vt:lpstr>
      <vt:lpstr>        Für welchen Zeitraum sind im Falle eines länger andauernden Baustopps die Vertra</vt:lpstr>
      <vt:lpstr>        Die Eintrittsrechte gelten, solange die jeweiligen Verträge Bestand haben. Eine </vt:lpstr>
      <vt:lpstr>        Welche Rechte könnte bei einem Vertragseintritt der Stadt der Architekt (David C</vt:lpstr>
      <vt:lpstr>        Hätte die Stadt alternativ die Möglichkeit, nicht in den Architektur-Vertrag ein</vt:lpstr>
      <vt:lpstr>        Der Senat geht von einer Fertigstellung des Bauvorhabens in der geplanten Form a</vt:lpstr>
      <vt:lpstr>        Fristen – welche stehen bzw. standen im Grundstückskaufvertrag?</vt:lpstr>
      <vt:lpstr>        Der Senat antwortete auf meine Schriftliche Kleine Anfrage Drs. 22/13364, dass d</vt:lpstr>
      <vt:lpstr>        Zu welchem Datum war die Baugenehmigung vollzugsfähig?</vt:lpstr>
      <vt:lpstr>        Wann war der Baubeginn?</vt:lpstr>
      <vt:lpstr>        Welche Rolle spielten die vorbereitenden Baumaßnahmen? Bitte auch angeben und be</vt:lpstr>
      <vt:lpstr>        Die in der Frage angesprochene Fristberechnung ist im Grundstückskaufvertrag sow</vt:lpstr>
      <vt:lpstr>        Gab es durch Nachträge des GKV Änderungen bei den Fristen unter § 9.2.1 (e)? Fal</vt:lpstr>
      <vt:lpstr>        Welche Frist stand in dem GKV und in den jeweiligen Nachträgen?</vt:lpstr>
      <vt:lpstr>        Bei nach Abschluss des Grundstückskaufvertrags durchgeführten Bodenuntersuchunge</vt:lpstr>
      <vt:lpstr>        Die Frist zur Fertigstellung des Rohbaus (§ 9.2.1 (e) des Grundstückskaufvertrag</vt:lpstr>
      <vt:lpstr>        Worauf bezog sich der Senat, als er in der o.g. Antwort 52 Monate nannte?</vt:lpstr>
      <vt:lpstr>        Die Antwort bezog sich auf die Frist nach § 9.2.1 (e) des Grundstückskaufvertrag</vt:lpstr>
      <vt:lpstr>        Wiederkaufsrecht der Verkäuferin § 19 GKV</vt:lpstr>
      <vt:lpstr>        Der Senat schreibt in seiner Antwort auf meine Schriftliche Kleine Anfrage Drs. </vt:lpstr>
      <vt:lpstr>        Handelt es sich bei der Angabe § 19.1.1 (e) um einen Schreibfehler? Falls nicht,</vt:lpstr>
      <vt:lpstr>        Gemeint war § 19.1.1 (c) des Grundstückskaufvertrags, der die Frist für den Wied</vt:lpstr>
      <vt:lpstr>        Gab es durch Nachträge des GKV Änderungen bei den Fristen unter § 19.1.1 (d)? Fa</vt:lpstr>
      <vt:lpstr>        Welche Frist stand in dem GKV und in den jeweiligen Nachträgen?</vt:lpstr>
      <vt:lpstr>        Der Verlängerung der Fertigstellungsfristen folgend, wurden die Fristen zum Wied</vt:lpstr>
      <vt:lpstr>        Worauf bezog sich der Senat, als er in der o.g. Antwort 73 Monate nannte? </vt:lpstr>
      <vt:lpstr>        Die Antwort des Senats bezog sich auf den aktuellen Vertragsstand.</vt:lpstr>
    </vt:vector>
  </TitlesOfParts>
  <Company>..</Company>
  <LinksUpToDate>false</LinksUpToDate>
  <CharactersWithSpaces>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dc:description/>
  <cp:lastModifiedBy>Korn, Annette</cp:lastModifiedBy>
  <cp:revision>2</cp:revision>
  <cp:lastPrinted>2023-12-08T17:06:00Z</cp:lastPrinted>
  <dcterms:created xsi:type="dcterms:W3CDTF">2023-12-08T17:21:00Z</dcterms:created>
  <dcterms:modified xsi:type="dcterms:W3CDTF">2023-12-08T17:21:00Z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0x010100C6A9A8C494B4CA49B42C7F11167A0C1B</vt:lpwstr>
  </property>
</Properties>
</file>